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kur-20260630.htm"/>
      <w:bookmarkStart w:id="1" w:name="ksokur20260630"/>
      <w:bookmarkEnd w:id="0"/>
      <w:bookmarkEnd w:id="1"/>
      <w:r>
        <w:rPr/>
        <w:t> </w:t>
      </w:r>
    </w:p>
    <w:p>
      <w:pPr>
        <w:pStyle w:val="TextBody"/>
        <w:bidi w:val="0"/>
        <w:jc w:val="left"/>
        <w:rPr/>
      </w:pPr>
      <w:r>
        <w:rPr/>
        <w:t> </w:t>
      </w:r>
    </w:p>
    <w:p>
      <w:pPr>
        <w:pStyle w:val="TextBody"/>
        <w:pBdr>
          <w:top w:val="single" w:sz="24" w:space="1" w:color="000000"/>
          <w:bottom w:val="single" w:sz="4" w:space="1" w:color="000000"/>
        </w:pBdr>
        <w:bidi w:val="0"/>
        <w:spacing w:before="0" w:after="2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6" w:space="1" w:color="000000"/>
        </w:pBdr>
        <w:bidi w:val="0"/>
        <w:spacing w:before="60" w:after="283"/>
        <w:jc w:val="left"/>
        <w:rPr/>
      </w:pPr>
      <w:r>
        <w:rPr/>
        <w:t> </w:t>
      </w:r>
    </w:p>
    <w:p>
      <w:pPr>
        <w:pStyle w:val="TextBody"/>
        <w:bidi w:val="0"/>
        <w:spacing w:before="60" w:after="60"/>
        <w:jc w:val="center"/>
        <w:rPr>
          <w:rFonts w:ascii="Times New Roman" w:hAnsi="Times New Roman"/>
          <w:b/>
          <w:color w:val="000000"/>
          <w:sz w:val="22"/>
        </w:rPr>
      </w:pPr>
      <w:r>
        <w:rPr>
          <w:rFonts w:ascii="Times New Roman" w:hAnsi="Times New Roman"/>
          <w:b/>
          <w:color w:val="000000"/>
          <w:sz w:val="22"/>
        </w:rPr>
        <w:t>FORM 10-Q</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center"/>
        <w:rPr/>
      </w:pPr>
      <w:r>
        <w:rPr/>
        <w:t> </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spacing w:before="0" w:after="60"/>
        <w:jc w:val="center"/>
        <w:rPr>
          <w:rFonts w:ascii="Calibri" w:hAnsi="Calibri"/>
          <w:sz w:val="20"/>
        </w:rPr>
      </w:pPr>
      <w:r>
        <w:rPr>
          <w:rFonts w:ascii="Times New Roman" w:hAnsi="Times New Roman"/>
          <w:b/>
          <w:color w:val="000000"/>
          <w:sz w:val="16"/>
        </w:rPr>
        <w:t>For the quarterly period ended</w:t>
      </w:r>
      <w:r>
        <w:rPr>
          <w:rFonts w:ascii="Calibri" w:hAnsi="Calibri"/>
          <w:color w:val="000000"/>
          <w:sz w:val="20"/>
        </w:rPr>
        <w:t xml:space="preserve"> </w:t>
      </w:r>
      <w:r>
        <w:rPr>
          <w:rFonts w:ascii="Times New Roman" w:hAnsi="Times New Roman"/>
          <w:b/>
          <w:color w:val="000000"/>
          <w:sz w:val="16"/>
        </w:rPr>
        <w:t>June 30, 2026</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60"/>
              <w:jc w:val="center"/>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0" w:after="60"/>
        <w:jc w:val="center"/>
        <w:rPr>
          <w:rFonts w:ascii="Calibri" w:hAnsi="Calibri"/>
          <w:sz w:val="20"/>
        </w:rPr>
      </w:pPr>
      <w:r>
        <w:rPr>
          <w:rFonts w:ascii="Times New Roman" w:hAnsi="Times New Roman"/>
          <w:b/>
          <w:color w:val="000000"/>
          <w:sz w:val="16"/>
        </w:rPr>
        <w:t>For the transition period from</w:t>
      </w:r>
      <w:r>
        <w:rPr>
          <w:rFonts w:ascii="Calibri" w:hAnsi="Calibri"/>
          <w:color w:val="000000"/>
          <w:sz w:val="20"/>
          <w:u w:val="single"/>
        </w:rPr>
        <w:t xml:space="preserve"> </w:t>
      </w:r>
      <w:r>
        <w:rPr>
          <w:rFonts w:ascii="Times New Roman" w:hAnsi="Times New Roman"/>
          <w:b/>
          <w:color w:val="000000"/>
          <w:sz w:val="16"/>
        </w:rPr>
        <w:t>to</w:t>
      </w:r>
      <w:r>
        <w:rPr>
          <w:rFonts w:ascii="Calibri" w:hAnsi="Calibri"/>
          <w:color w:val="000000"/>
          <w:sz w:val="20"/>
        </w:rPr>
        <w:t xml:space="preserve"> </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Commission File Number: 001-40315</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50"/>
        </w:rPr>
      </w:pPr>
      <w:r>
        <w:rPr>
          <w:rFonts w:ascii="Times New Roman" w:hAnsi="Times New Roman"/>
          <w:b/>
          <w:color w:val="000000"/>
          <w:sz w:val="50"/>
        </w:rPr>
        <w:t>ONKURE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spacing w:before="60" w:after="283"/>
        <w:jc w:val="left"/>
        <w:rPr/>
      </w:pPr>
      <w:r>
        <w:rPr/>
        <w:t> </w:t>
      </w:r>
    </w:p>
    <w:p>
      <w:pPr>
        <w:pStyle w:val="TextBody"/>
        <w:bidi w:val="0"/>
        <w:jc w:val="center"/>
        <w:rPr/>
      </w:pPr>
      <w:r>
        <w:rPr/>
        <w:t> </w:t>
      </w:r>
    </w:p>
    <w:p>
      <w:pPr>
        <w:pStyle w:val="TextBody"/>
        <w:bidi w:val="0"/>
        <w:jc w:val="center"/>
        <w:rPr/>
      </w:pPr>
      <w:r>
        <w:rPr/>
        <w:t> </w:t>
      </w:r>
    </w:p>
    <w:tbl>
      <w:tblPr>
        <w:tblW w:w="6002" w:type="dxa"/>
        <w:jc w:val="left"/>
        <w:tblInd w:w="0" w:type="dxa"/>
        <w:tblLayout w:type="fixed"/>
        <w:tblCellMar>
          <w:top w:w="28" w:type="dxa"/>
          <w:left w:w="28" w:type="dxa"/>
          <w:bottom w:w="28" w:type="dxa"/>
          <w:right w:w="28" w:type="dxa"/>
        </w:tblCellMar>
      </w:tblPr>
      <w:tblGrid>
        <w:gridCol w:w="3751"/>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47-2309515</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6707 Winchester Circle, Suite 400</w:t>
            </w:r>
          </w:p>
          <w:p>
            <w:pPr>
              <w:pStyle w:val="TableContents"/>
              <w:bidi w:val="0"/>
              <w:jc w:val="center"/>
              <w:rPr>
                <w:rFonts w:ascii="Times New Roman" w:hAnsi="Times New Roman"/>
                <w:b/>
                <w:color w:val="000000"/>
                <w:sz w:val="16"/>
              </w:rPr>
            </w:pPr>
            <w:r>
              <w:rPr>
                <w:rFonts w:ascii="Times New Roman" w:hAnsi="Times New Roman"/>
                <w:b/>
                <w:color w:val="000000"/>
                <w:sz w:val="16"/>
              </w:rPr>
              <w:t>Boulder, Colorado</w:t>
            </w:r>
          </w:p>
          <w:p>
            <w:pPr>
              <w:pStyle w:val="TableContents"/>
              <w:bidi w:val="0"/>
              <w:spacing w:before="0" w:after="120"/>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jc w:val="center"/>
              <w:rPr>
                <w:rFonts w:ascii="Calibri" w:hAnsi="Calibri"/>
                <w:sz w:val="20"/>
              </w:rPr>
            </w:pPr>
            <w:r>
              <w:rPr>
                <w:rFonts w:ascii="Times New Roman" w:hAnsi="Times New Roman"/>
                <w:b/>
                <w:color w:val="000000"/>
                <w:sz w:val="16"/>
              </w:rPr>
              <w:t>80301</w:t>
            </w:r>
            <w:r>
              <w:rPr>
                <w:rFonts w:ascii="Calibri" w:hAnsi="Calibri"/>
                <w:color w:val="000000"/>
                <w:sz w:val="20"/>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r>
        <w:trPr/>
        <w:tc>
          <w:tcPr>
            <w:tcW w:w="60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 (720) 307-2892</w:t>
            </w:r>
          </w:p>
        </w:tc>
      </w:tr>
    </w:tbl>
    <w:p>
      <w:pPr>
        <w:pStyle w:val="TextBody"/>
        <w:pBdr>
          <w:bottom w:val="single" w:sz="6" w:space="1" w:color="000000"/>
        </w:pBdr>
        <w:bidi w:val="0"/>
        <w:spacing w:before="60" w:after="283"/>
        <w:jc w:val="left"/>
        <w:rPr/>
      </w:pPr>
      <w:r>
        <w:rPr/>
        <w:t> </w:t>
      </w:r>
    </w:p>
    <w:p>
      <w:pPr>
        <w:pStyle w:val="TextBody"/>
        <w:bidi w:val="0"/>
        <w:spacing w:before="0" w:after="60"/>
        <w:jc w:val="center"/>
        <w:rPr/>
      </w:pPr>
      <w:r>
        <w:rPr/>
        <w:t> </w:t>
      </w:r>
    </w:p>
    <w:p>
      <w:pPr>
        <w:pStyle w:val="TextBody"/>
        <w:bidi w:val="0"/>
        <w:spacing w:before="0" w:after="6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270" w:type="dxa"/>
        <w:jc w:val="left"/>
        <w:tblInd w:w="0" w:type="dxa"/>
        <w:tblLayout w:type="fixed"/>
        <w:tblCellMar>
          <w:top w:w="28" w:type="dxa"/>
          <w:left w:w="28" w:type="dxa"/>
          <w:bottom w:w="28" w:type="dxa"/>
          <w:right w:w="28" w:type="dxa"/>
        </w:tblCellMar>
      </w:tblPr>
      <w:tblGrid>
        <w:gridCol w:w="3211"/>
        <w:gridCol w:w="146"/>
        <w:gridCol w:w="1066"/>
        <w:gridCol w:w="146"/>
        <w:gridCol w:w="270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OKUR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The Nasdaq Stock Market LLC </w:t>
            </w:r>
          </w:p>
        </w:tc>
      </w:tr>
    </w:tbl>
    <w:p>
      <w:pPr>
        <w:pStyle w:val="TextBody"/>
        <w:bidi w:val="0"/>
        <w:spacing w:before="120" w:after="283"/>
        <w:jc w:val="left"/>
        <w:rPr>
          <w:rFonts w:ascii="Calibri" w:hAnsi="Calibri"/>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Calibri" w:hAnsi="Calibri"/>
          <w:color w:val="000000"/>
          <w:sz w:val="20"/>
        </w:rPr>
        <w:t xml:space="preserve"> ☒ </w:t>
      </w:r>
      <w:r>
        <w:rPr>
          <w:rFonts w:ascii="Times New Roman" w:hAnsi="Times New Roman"/>
          <w:color w:val="000000"/>
          <w:sz w:val="16"/>
        </w:rPr>
        <w:t xml:space="preserve">No </w:t>
      </w:r>
      <w:r>
        <w:rPr>
          <w:rFonts w:ascii="Calibri" w:hAnsi="Calibri"/>
          <w:color w:val="000000"/>
          <w:sz w:val="20"/>
        </w:rPr>
        <w:t>☐</w:t>
      </w:r>
    </w:p>
    <w:p>
      <w:pPr>
        <w:pStyle w:val="TextBody"/>
        <w:bidi w:val="0"/>
        <w:spacing w:before="120" w:after="283"/>
        <w:jc w:val="left"/>
        <w:rPr>
          <w:rFonts w:ascii="Calibri" w:hAnsi="Calibri"/>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Calibri" w:hAnsi="Calibri"/>
          <w:color w:val="000000"/>
          <w:sz w:val="20"/>
        </w:rPr>
        <w:t xml:space="preserve"> ☒ </w:t>
      </w:r>
      <w:r>
        <w:rPr>
          <w:rFonts w:ascii="Times New Roman" w:hAnsi="Times New Roman"/>
          <w:color w:val="000000"/>
          <w:sz w:val="16"/>
        </w:rPr>
        <w:t xml:space="preserve">No </w:t>
      </w:r>
      <w:r>
        <w:rPr>
          <w:rFonts w:ascii="Calibri" w:hAnsi="Calibri"/>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53" w:type="dxa"/>
        <w:jc w:val="left"/>
        <w:tblInd w:w="0" w:type="dxa"/>
        <w:tblLayout w:type="fixed"/>
        <w:tblCellMar>
          <w:top w:w="28" w:type="dxa"/>
          <w:left w:w="28" w:type="dxa"/>
          <w:bottom w:w="28" w:type="dxa"/>
          <w:right w:w="28" w:type="dxa"/>
        </w:tblCellMar>
      </w:tblPr>
      <w:tblGrid>
        <w:gridCol w:w="1666"/>
        <w:gridCol w:w="316"/>
        <w:gridCol w:w="146"/>
        <w:gridCol w:w="146"/>
        <w:gridCol w:w="14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120" w:after="283"/>
        <w:jc w:val="left"/>
        <w:rPr>
          <w:rFonts w:ascii="Calibri" w:hAnsi="Calibri"/>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16"/>
        </w:rPr>
        <w:t>Indicate by check mark whether the registrant is a shell company (as defined in Rule 12b-2 of the Exchange Act). Yes</w:t>
      </w:r>
      <w:r>
        <w:rPr>
          <w:rFonts w:ascii="Calibri" w:hAnsi="Calibri"/>
          <w:color w:val="000000"/>
          <w:sz w:val="20"/>
        </w:rPr>
        <w:t xml:space="preserve"> ☐ </w:t>
      </w:r>
      <w:r>
        <w:rPr>
          <w:rFonts w:ascii="Times New Roman" w:hAnsi="Times New Roman"/>
          <w:color w:val="000000"/>
          <w:sz w:val="18"/>
        </w:rPr>
        <w:t xml:space="preserve">No </w:t>
      </w:r>
      <w:r>
        <w:rPr>
          <w:rFonts w:ascii="Calibri" w:hAnsi="Calibri"/>
          <w:color w:val="000000"/>
          <w:sz w:val="20"/>
        </w:rPr>
        <w:t>☒</w:t>
      </w:r>
    </w:p>
    <w:p>
      <w:pPr>
        <w:pStyle w:val="TextBody"/>
        <w:bidi w:val="0"/>
        <w:spacing w:before="120" w:after="283"/>
        <w:jc w:val="left"/>
        <w:rPr>
          <w:rFonts w:ascii="Calibri" w:hAnsi="Calibri"/>
          <w:sz w:val="20"/>
        </w:rPr>
      </w:pPr>
      <w:r>
        <w:rPr>
          <w:rFonts w:ascii="Times New Roman" w:hAnsi="Times New Roman"/>
          <w:color w:val="000000"/>
          <w:sz w:val="16"/>
        </w:rPr>
        <w:t>As of August 3, 2026, the registrant had 40,496,309</w:t>
      </w:r>
      <w:r>
        <w:rPr>
          <w:rFonts w:ascii="Calibri" w:hAnsi="Calibri"/>
          <w:color w:val="000000"/>
          <w:sz w:val="20"/>
        </w:rPr>
        <w:t xml:space="preserve"> </w:t>
      </w:r>
      <w:r>
        <w:rPr>
          <w:rFonts w:ascii="Times New Roman" w:hAnsi="Times New Roman"/>
          <w:color w:val="000000"/>
          <w:sz w:val="16"/>
        </w:rPr>
        <w:t>shares of Class A common stock, $0.0001 par value per share outstanding.</w:t>
      </w:r>
    </w:p>
    <w:p>
      <w:pPr>
        <w:pStyle w:val="TextBody"/>
        <w:bidi w:val="0"/>
        <w:spacing w:before="120" w:after="283"/>
        <w:jc w:val="center"/>
        <w:rPr/>
      </w:pPr>
      <w:r>
        <w:rPr/>
        <w:t> </w:t>
      </w:r>
    </w:p>
    <w:p>
      <w:pPr>
        <w:pStyle w:val="TextBody"/>
        <w:pBdr>
          <w:top w:val="single" w:sz="4"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0" w:after="24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center"/>
        <w:rPr/>
      </w:pPr>
      <w:r>
        <w:rPr/>
        <w:t> </w:t>
      </w:r>
    </w:p>
    <w:tbl>
      <w:tblPr>
        <w:tblW w:w="10049" w:type="dxa"/>
        <w:jc w:val="left"/>
        <w:tblInd w:w="0" w:type="dxa"/>
        <w:tblLayout w:type="fixed"/>
        <w:tblCellMar>
          <w:top w:w="28" w:type="dxa"/>
          <w:left w:w="28" w:type="dxa"/>
          <w:bottom w:w="28" w:type="dxa"/>
          <w:right w:w="28" w:type="dxa"/>
        </w:tblCellMar>
      </w:tblPr>
      <w:tblGrid>
        <w:gridCol w:w="1216"/>
        <w:gridCol w:w="866"/>
        <w:gridCol w:w="7366"/>
        <w:gridCol w:w="601"/>
      </w:tblGrid>
      <w:tr>
        <w:trPr/>
        <w:tc>
          <w:tcPr>
            <w:tcW w:w="121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216" w:type="dxa"/>
            <w:tcBorders/>
            <w:tcMar>
              <w:top w:w="0" w:type="dxa"/>
              <w:left w:w="0" w:type="dxa"/>
              <w:bottom w:w="0" w:type="dxa"/>
              <w:right w:w="0" w:type="dxa"/>
            </w:tcMar>
            <w:vAlign w:val="center"/>
          </w:tcPr>
          <w:p>
            <w:pPr>
              <w:pStyle w:val="TableContents"/>
              <w:bidi w:val="0"/>
              <w:spacing w:before="0" w:after="283"/>
              <w:jc w:val="both"/>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FF"/>
                <w:sz w:val="20"/>
              </w:rPr>
            </w:pPr>
            <w:r>
              <w:rPr>
                <w:rFonts w:ascii="Times New Roman" w:hAnsi="Times New Roman"/>
                <w:b/>
                <w:color w:val="0000FF"/>
                <w:sz w:val="20"/>
              </w:rPr>
              <w:t>Part I</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FF"/>
                <w:sz w:val="20"/>
              </w:rPr>
            </w:pPr>
            <w:r>
              <w:rPr>
                <w:rFonts w:ascii="Times New Roman" w:hAnsi="Times New Roman"/>
                <w:color w:val="0000FF"/>
                <w:sz w:val="20"/>
              </w:rPr>
              <w:t>Item 1.</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onkure_fs">
              <w:r>
                <w:rPr>
                  <w:rStyle w:val="InternetLink"/>
                  <w:rFonts w:ascii="Times New Roman" w:hAnsi="Times New Roman"/>
                  <w:color w:val="0000FF"/>
                  <w:sz w:val="20"/>
                  <w:u w:val="single"/>
                </w:rPr>
                <w:t>Condensed Consolidated Financial Statements (Unaudited)</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nkure_bs">
              <w:r>
                <w:rPr>
                  <w:rStyle w:val="InternetLink"/>
                  <w:rFonts w:ascii="Times New Roman" w:hAnsi="Times New Roman"/>
                  <w:color w:val="0000FF"/>
                  <w:sz w:val="20"/>
                  <w:u w:val="single"/>
                </w:rPr>
                <w:t>Condensed Consolidated Balance Sheets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nkure_stmt_ops">
              <w:r>
                <w:rPr>
                  <w:rStyle w:val="InternetLink"/>
                  <w:rFonts w:ascii="Times New Roman" w:hAnsi="Times New Roman"/>
                  <w:color w:val="0000FF"/>
                  <w:sz w:val="20"/>
                  <w:u w:val="single"/>
                </w:rPr>
                <w:t>Condensed Consolidated Statements of Operations and Comprehensive Loss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nkure_stmt_stock">
              <w:r>
                <w:rPr>
                  <w:rStyle w:val="InternetLink"/>
                  <w:rFonts w:ascii="Times New Roman" w:hAnsi="Times New Roman"/>
                  <w:color w:val="0000FF"/>
                  <w:sz w:val="20"/>
                  <w:u w:val="single"/>
                </w:rPr>
                <w:t>Condensed Consolidated Statements of Changes in Stockholders’ Equity</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nkure_stmt_cashflow">
              <w:r>
                <w:rPr>
                  <w:rStyle w:val="InternetLink"/>
                  <w:rFonts w:ascii="Times New Roman" w:hAnsi="Times New Roman"/>
                  <w:color w:val="0000FF"/>
                  <w:sz w:val="20"/>
                  <w:u w:val="single"/>
                </w:rPr>
                <w:t>Condensed Consolidated Statements of Cash Flows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solidated">
              <w:r>
                <w:rPr>
                  <w:rStyle w:val="InternetLink"/>
                  <w:rFonts w:ascii="Times New Roman" w:hAnsi="Times New Roman"/>
                  <w:color w:val="0000FF"/>
                  <w:sz w:val="20"/>
                </w:rPr>
                <w:t>Notes to Condensed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managementsdiscussionandanalysisoff">
              <w:r>
                <w:rPr>
                  <w:rStyle w:val="InternetLink"/>
                  <w:rFonts w:ascii="Times New Roman" w:hAnsi="Times New Roman"/>
                  <w:color w:val="0000FF"/>
                  <w:sz w:val="20"/>
                </w:rPr>
                <w:t>Item 2.</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FF"/>
                  <w:sz w:val="20"/>
                </w:rPr>
                <w:t>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3quantitativeandqualitativedisclosur">
              <w:r>
                <w:rPr>
                  <w:rStyle w:val="InternetLink"/>
                  <w:rFonts w:ascii="Times New Roman" w:hAnsi="Times New Roman"/>
                  <w:color w:val="0000FF"/>
                  <w:sz w:val="20"/>
                </w:rPr>
                <w:t>Item 3.</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FF"/>
                  <w:sz w:val="20"/>
                </w:rPr>
                <w:t>Quantitative and Qualitative Disclosures about Market Risk</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4controlsandprocedures_953372">
              <w:r>
                <w:rPr>
                  <w:rStyle w:val="InternetLink"/>
                  <w:rFonts w:ascii="Times New Roman" w:hAnsi="Times New Roman"/>
                  <w:color w:val="0000FF"/>
                  <w:sz w:val="20"/>
                </w:rPr>
                <w:t>Item 4.</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4controlsandprocedures_953372">
              <w:r>
                <w:rPr>
                  <w:rStyle w:val="InternetLink"/>
                  <w:rFonts w:ascii="Times New Roman" w:hAnsi="Times New Roman"/>
                  <w:color w:val="0000FF"/>
                  <w:sz w:val="20"/>
                </w:rPr>
                <w:t>Controls and Procedures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otherinformation_561478">
              <w:r>
                <w:rPr>
                  <w:rStyle w:val="InternetLink"/>
                  <w:rFonts w:ascii="Times New Roman" w:hAnsi="Times New Roman"/>
                  <w:b/>
                  <w:color w:val="0000FF"/>
                  <w:sz w:val="20"/>
                </w:rPr>
                <w:t>Part II</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iiotherinformation_561478">
              <w:r>
                <w:rPr>
                  <w:rStyle w:val="InternetLink"/>
                  <w:rFonts w:ascii="Times New Roman" w:hAnsi="Times New Roman"/>
                  <w:b/>
                  <w:color w:val="0000FF"/>
                  <w:sz w:val="20"/>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1legalproceedings">
              <w:r>
                <w:rPr>
                  <w:rStyle w:val="InternetLink"/>
                  <w:rFonts w:ascii="Times New Roman" w:hAnsi="Times New Roman"/>
                  <w:color w:val="0000FF"/>
                  <w:sz w:val="20"/>
                </w:rPr>
                <w:t>Item 1.</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legalproceedings">
              <w:r>
                <w:rPr>
                  <w:rStyle w:val="InternetLink"/>
                  <w:rFonts w:ascii="Times New Roman" w:hAnsi="Times New Roman"/>
                  <w:color w:val="0000FF"/>
                  <w:sz w:val="20"/>
                </w:rPr>
                <w:t>Legal Proceedings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FF"/>
                <w:sz w:val="20"/>
              </w:rPr>
            </w:pPr>
            <w:r>
              <w:rPr>
                <w:rFonts w:ascii="Times New Roman" w:hAnsi="Times New Roman"/>
                <w:color w:val="0000FF"/>
                <w:sz w:val="20"/>
              </w:rPr>
              <w:t>Item 1A.</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unregisteredsalesofequitysecurities">
              <w:r>
                <w:rPr>
                  <w:rStyle w:val="InternetLink"/>
                  <w:rFonts w:ascii="Times New Roman" w:hAnsi="Times New Roman"/>
                  <w:color w:val="0000FF"/>
                  <w:sz w:val="20"/>
                </w:rPr>
                <w:t>Item 2.</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Times New Roman" w:hAnsi="Times New Roman"/>
                  <w:color w:val="0000FF"/>
                  <w:sz w:val="20"/>
                </w:rPr>
                <w:t>Unregistered Sales of Equity Securities and Use of Proceeds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3defaultsuponseniorsecurities_414864">
              <w:r>
                <w:rPr>
                  <w:rStyle w:val="InternetLink"/>
                  <w:rFonts w:ascii="Times New Roman" w:hAnsi="Times New Roman"/>
                  <w:color w:val="0000FF"/>
                  <w:sz w:val="20"/>
                </w:rPr>
                <w:t>Item 3.</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3defaultsuponseniorsecurities_414864">
              <w:r>
                <w:rPr>
                  <w:rStyle w:val="InternetLink"/>
                  <w:rFonts w:ascii="Times New Roman" w:hAnsi="Times New Roman"/>
                  <w:color w:val="0000FF"/>
                  <w:sz w:val="20"/>
                </w:rPr>
                <w:t>Defaults Upon Senior Securities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4minesafetydisclosures_312119">
              <w:r>
                <w:rPr>
                  <w:rStyle w:val="InternetLink"/>
                  <w:rFonts w:ascii="Times New Roman" w:hAnsi="Times New Roman"/>
                  <w:color w:val="0000FF"/>
                  <w:sz w:val="20"/>
                </w:rPr>
                <w:t>Item 4.</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312119">
              <w:r>
                <w:rPr>
                  <w:rStyle w:val="InternetLink"/>
                  <w:rFonts w:ascii="Times New Roman" w:hAnsi="Times New Roman"/>
                  <w:color w:val="0000FF"/>
                  <w:sz w:val="20"/>
                </w:rPr>
                <w:t>Mine Safety Disclosures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FF"/>
                <w:sz w:val="20"/>
              </w:rPr>
            </w:pPr>
            <w:r>
              <w:rPr>
                <w:rFonts w:ascii="Times New Roman" w:hAnsi="Times New Roman"/>
                <w:color w:val="0000FF"/>
                <w:sz w:val="20"/>
              </w:rPr>
              <w:t>Item 5.</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Times New Roman" w:hAnsi="Times New Roman"/>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FF"/>
                <w:sz w:val="20"/>
              </w:rPr>
            </w:pPr>
            <w:r>
              <w:rPr>
                <w:rFonts w:ascii="Times New Roman" w:hAnsi="Times New Roman"/>
                <w:color w:val="0000FF"/>
                <w:sz w:val="20"/>
              </w:rPr>
              <w:t>Item 6.</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exhibit_index">
              <w:r>
                <w:rPr>
                  <w:rStyle w:val="InternetLink"/>
                  <w:rFonts w:ascii="Times New Roman" w:hAnsi="Times New Roman"/>
                  <w:color w:val="0000FF"/>
                  <w:sz w:val="20"/>
                  <w:u w:val="single"/>
                </w:rPr>
                <w:t>Exhibits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85</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_349911">
              <w:r>
                <w:rPr>
                  <w:rStyle w:val="InternetLink"/>
                  <w:rFonts w:ascii="Times New Roman" w:hAnsi="Times New Roman"/>
                  <w:color w:val="0000FF"/>
                  <w:sz w:val="20"/>
                </w:rPr>
                <w:t>Signatures</w:t>
              </w:r>
            </w:hyperlink>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pStyle w:val="TextBody"/>
        <w:bidi w:val="0"/>
        <w:spacing w:before="24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ability of our current and future clinical trials to demonstrate safety and efficacy of our product candidates, and other positive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beneficial characteristics, and the potential safety, efficacy, and therapeutic effects of our current and future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future results of operations and financial position;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and commercialize our current and future product candidates, subject to regulatory approvals;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sufficiency of our cash, cash equivalents and marketable securities to fund our operations;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initiation, timing, progress and results of our preclinical and clinical activities for OKI-345, OKI-355 and any other product candidates we are developing or may in the future develop, including the timing of initiation and completion of studies or trials and related preparatory work, the anticipated timing for our disclosure of the results of such studies or trials and the announcement of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potential of our technologies and our ability to execute on our corporate strategy;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expectations regarding the approval and use of our product candidates in combination with other drugs;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our expectations regarding the market opportunities for our product candidates and </w:t>
      </w:r>
      <w:r>
        <w:rPr>
          <w:rFonts w:ascii="Times New Roman" w:hAnsi="Times New Roman"/>
          <w:color w:val="231F20"/>
          <w:sz w:val="20"/>
        </w:rPr>
        <w:t>PI3Kα inhibitors generally;</w:t>
      </w:r>
      <w:r>
        <w:rPr>
          <w:color w:val="00000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and adequately protect intellectual property rights for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obtain regulatory approval for our product candidates and any related restrictions, limitations and/or warnings in the label of any approved product candidate;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expectations regarding our reliance on third parties for the manufacture of our product candidates for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competitive position and the success of competing therapies that are or may become available;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240" w:after="283"/>
        <w:jc w:val="left"/>
        <w:rPr>
          <w:rFonts w:ascii="Calibri" w:hAnsi="Calibri"/>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such as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3" w:name="onkure_f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ONKURE THERAPEUTICS, INC.</w:t>
      </w:r>
    </w:p>
    <w:p>
      <w:pPr>
        <w:pStyle w:val="TextBody"/>
        <w:bidi w:val="0"/>
        <w:spacing w:before="120" w:after="283"/>
        <w:jc w:val="center"/>
        <w:rPr>
          <w:rFonts w:ascii="Times New Roman" w:hAnsi="Times New Roman"/>
          <w:b/>
          <w:color w:val="000000"/>
          <w:sz w:val="20"/>
        </w:rPr>
      </w:pPr>
      <w:bookmarkStart w:id="4" w:name="onkure_b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64"/>
        <w:gridCol w:w="211"/>
        <w:gridCol w:w="841"/>
        <w:gridCol w:w="166"/>
        <w:gridCol w:w="146"/>
        <w:gridCol w:w="217"/>
        <w:gridCol w:w="867"/>
        <w:gridCol w:w="693"/>
      </w:tblGrid>
      <w:tr>
        <w:trPr/>
        <w:tc>
          <w:tcPr>
            <w:tcW w:w="7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59,050</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available for sale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60,839</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Times New Roman" w:hAnsi="Times New Roman"/>
                <w:color w:val="000000"/>
                <w:sz w:val="20"/>
              </w:rPr>
              <w:t>Common stock, Class A, $0.0001</w:t>
            </w:r>
            <w:r>
              <w:rPr>
                <w:rFonts w:ascii="Calibri" w:hAnsi="Calibri"/>
                <w:color w:val="000000"/>
                <w:sz w:val="20"/>
              </w:rPr>
              <w:t> </w:t>
            </w:r>
            <w:r>
              <w:rPr>
                <w:rFonts w:ascii="Times New Roman" w:hAnsi="Times New Roman"/>
                <w:color w:val="000000"/>
                <w:sz w:val="20"/>
              </w:rPr>
              <w:t>par value; 200,000,000</w:t>
            </w:r>
            <w:r>
              <w:rPr>
                <w:rFonts w:ascii="Calibri" w:hAnsi="Calibri"/>
                <w:color w:val="000000"/>
                <w:sz w:val="20"/>
              </w:rPr>
              <w:t> </w:t>
            </w:r>
            <w:r>
              <w:rPr>
                <w:rFonts w:ascii="Times New Roman" w:hAnsi="Times New Roman"/>
                <w:color w:val="000000"/>
                <w:sz w:val="20"/>
              </w:rPr>
              <w:t>shares authorized; 40,496,309</w:t>
            </w:r>
            <w:r>
              <w:rPr>
                <w:rFonts w:ascii="Calibri" w:hAnsi="Calibri"/>
                <w:color w:val="000000"/>
                <w:sz w:val="20"/>
              </w:rPr>
              <w:t> </w:t>
            </w:r>
            <w:r>
              <w:rPr>
                <w:rFonts w:ascii="Times New Roman" w:hAnsi="Times New Roman"/>
                <w:color w:val="000000"/>
                <w:sz w:val="20"/>
              </w:rPr>
              <w:t>and 13,673,565</w:t>
            </w:r>
            <w:r>
              <w:rPr>
                <w:rFonts w:ascii="Calibri" w:hAnsi="Calibri"/>
                <w:color w:val="000000"/>
                <w:sz w:val="20"/>
              </w:rPr>
              <w:t> </w:t>
            </w:r>
            <w:r>
              <w:rPr>
                <w:rFonts w:ascii="Times New Roman" w:hAnsi="Times New Roman"/>
                <w:color w:val="000000"/>
                <w:sz w:val="20"/>
              </w:rPr>
              <w:t>shares issued and outstanding at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Times New Roman" w:hAnsi="Times New Roman"/>
                <w:color w:val="000000"/>
                <w:sz w:val="20"/>
              </w:rPr>
              <w:t>Common stock, Class B, $0.0001</w:t>
            </w:r>
            <w:r>
              <w:rPr>
                <w:rFonts w:ascii="Calibri" w:hAnsi="Calibri"/>
                <w:color w:val="000000"/>
                <w:sz w:val="20"/>
              </w:rPr>
              <w:t> </w:t>
            </w:r>
            <w:r>
              <w:rPr>
                <w:rFonts w:ascii="Times New Roman" w:hAnsi="Times New Roman"/>
                <w:color w:val="000000"/>
                <w:sz w:val="20"/>
              </w:rPr>
              <w:t>par value; 10,000,000</w:t>
            </w:r>
            <w:r>
              <w:rPr>
                <w:rFonts w:ascii="Calibri" w:hAnsi="Calibri"/>
                <w:color w:val="000000"/>
                <w:sz w:val="20"/>
              </w:rPr>
              <w:t> </w:t>
            </w:r>
            <w:r>
              <w:rPr>
                <w:rFonts w:ascii="Times New Roman" w:hAnsi="Times New Roman"/>
                <w:color w:val="000000"/>
                <w:sz w:val="20"/>
              </w:rPr>
              <w:t>shares authorized; no</w:t>
            </w:r>
            <w:r>
              <w:rPr>
                <w:rFonts w:ascii="Calibri" w:hAnsi="Calibri"/>
                <w:color w:val="000000"/>
                <w:sz w:val="20"/>
              </w:rPr>
              <w:t> </w:t>
            </w:r>
            <w:r>
              <w:rPr>
                <w:rFonts w:ascii="Times New Roman" w:hAnsi="Times New Roman"/>
                <w:color w:val="000000"/>
                <w:sz w:val="20"/>
              </w:rPr>
              <w:t>shares issued and outstanding at June 30, 2026 and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270,424</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(214,241</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stockholders’ equity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56,184</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6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ONKURE THERAPEUTICS, INC.</w:t>
      </w:r>
    </w:p>
    <w:p>
      <w:pPr>
        <w:pStyle w:val="TextBody"/>
        <w:bidi w:val="0"/>
        <w:jc w:val="center"/>
        <w:rPr>
          <w:rFonts w:ascii="Times New Roman" w:hAnsi="Times New Roman"/>
          <w:b/>
          <w:color w:val="000000"/>
          <w:sz w:val="20"/>
        </w:rPr>
      </w:pPr>
      <w:bookmarkStart w:id="5" w:name="onkure_stmt_op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90"/>
        <w:gridCol w:w="211"/>
        <w:gridCol w:w="1036"/>
        <w:gridCol w:w="166"/>
        <w:gridCol w:w="146"/>
        <w:gridCol w:w="211"/>
        <w:gridCol w:w="1036"/>
        <w:gridCol w:w="166"/>
        <w:gridCol w:w="146"/>
        <w:gridCol w:w="211"/>
        <w:gridCol w:w="1036"/>
        <w:gridCol w:w="166"/>
        <w:gridCol w:w="146"/>
        <w:gridCol w:w="211"/>
        <w:gridCol w:w="1036"/>
        <w:gridCol w:w="791"/>
      </w:tblGrid>
      <w:tr>
        <w:trPr/>
        <w:tc>
          <w:tcPr>
            <w:tcW w:w="3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49,869,177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13,466,942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ONKURE THERAPEUTICS, INC</w:t>
      </w:r>
    </w:p>
    <w:p>
      <w:pPr>
        <w:pStyle w:val="TextBody"/>
        <w:bidi w:val="0"/>
        <w:jc w:val="center"/>
        <w:rPr>
          <w:rFonts w:ascii="Calibri" w:hAnsi="Calibri"/>
          <w:sz w:val="20"/>
        </w:rPr>
      </w:pPr>
      <w:bookmarkStart w:id="6" w:name="onkure_stmt_stock"/>
      <w:bookmarkEnd w:id="6"/>
      <w:r>
        <w:rPr>
          <w:rFonts w:ascii="Times New Roman" w:hAnsi="Times New Roman"/>
          <w:b/>
          <w:color w:val="000000"/>
          <w:sz w:val="20"/>
        </w:rPr>
        <w:t>CONDENSED CONSOLIDATED STATEMENTS OF CHANGES IN STOCKHOLDERS’ EQUITY</w:t>
      </w:r>
      <w:r>
        <w:rPr>
          <w:rFonts w:ascii="Calibri" w:hAnsi="Calibri"/>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(in thousands, except share information)</w:t>
      </w:r>
    </w:p>
    <w:p>
      <w:pPr>
        <w:pStyle w:val="TextBody"/>
        <w:bidi w:val="0"/>
        <w:spacing w:before="0" w:after="240"/>
        <w:jc w:val="center"/>
        <w:rPr>
          <w:rFonts w:ascii="Times New Roman" w:hAnsi="Times New Roman"/>
          <w:b/>
          <w:color w:val="000000"/>
          <w:sz w:val="19"/>
        </w:rPr>
      </w:pPr>
      <w:r>
        <w:rPr>
          <w:rFonts w:ascii="Times New Roman" w:hAnsi="Times New Roman"/>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634"/>
        <w:gridCol w:w="146"/>
        <w:gridCol w:w="146"/>
        <w:gridCol w:w="766"/>
        <w:gridCol w:w="146"/>
        <w:gridCol w:w="571"/>
        <w:gridCol w:w="146"/>
        <w:gridCol w:w="652"/>
        <w:gridCol w:w="148"/>
        <w:gridCol w:w="579"/>
        <w:gridCol w:w="146"/>
        <w:gridCol w:w="751"/>
        <w:gridCol w:w="146"/>
        <w:gridCol w:w="1120"/>
        <w:gridCol w:w="146"/>
        <w:gridCol w:w="871"/>
        <w:gridCol w:w="146"/>
        <w:gridCol w:w="945"/>
      </w:tblGrid>
      <w:tr>
        <w:trPr/>
        <w:tc>
          <w:tcPr>
            <w:tcW w:w="2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12,660,590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686,527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$258,551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$(154,724)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14"/>
              </w:rPr>
            </w:pPr>
            <w:r>
              <w:rPr>
                <w:rFonts w:ascii="Times New Roman" w:hAnsi="Times New Roman"/>
                <w:b/>
                <w:color w:val="000000"/>
                <w:sz w:val="14"/>
              </w:rPr>
              <w:t>$103,828</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2,745</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(15,925)</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12,755,348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686,527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261,296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(170,649)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14"/>
              </w:rPr>
            </w:pPr>
            <w:r>
              <w:rPr>
                <w:rFonts w:ascii="Times New Roman" w:hAnsi="Times New Roman"/>
                <w:b/>
                <w:color w:val="000000"/>
                <w:sz w:val="14"/>
              </w:rPr>
              <w:t>90,648</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2,908</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(15,390)</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12,843,434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686,527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(186,039)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b/>
                <w:color w:val="000000"/>
                <w:sz w:val="14"/>
              </w:rPr>
            </w:pPr>
            <w:r>
              <w:rPr>
                <w:rFonts w:ascii="Times New Roman" w:hAnsi="Times New Roman"/>
                <w:b/>
                <w:color w:val="000000"/>
                <w:sz w:val="14"/>
              </w:rPr>
              <w:t>78,166</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(14,699)</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12,861,672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686,527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267,165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(200,738)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66,428</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Class B Common Stock to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(686,527)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Class A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240</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3,019</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(13,503)</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13,673,565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270,424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(214,241)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56,184</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Class A Common Stock and pre-funded warrants in connection with 2026 Private Placement, less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26,713,638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140,546</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2,780</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(15,157)</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40,395,480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413,747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(229,398)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184,353</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costs in connection with 2026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Class A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203</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3,049</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(15,346)</w:t>
            </w:r>
          </w:p>
        </w:tc>
      </w:tr>
      <w:tr>
        <w:trPr/>
        <w:tc>
          <w:tcPr>
            <w:tcW w:w="2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40,496,309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$416,861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$(244,744)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$172,108</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ONKURE THERAPEUTICS, INC.</w:t>
      </w:r>
    </w:p>
    <w:p>
      <w:pPr>
        <w:pStyle w:val="TextBody"/>
        <w:bidi w:val="0"/>
        <w:jc w:val="center"/>
        <w:rPr>
          <w:rFonts w:ascii="Times New Roman" w:hAnsi="Times New Roman"/>
          <w:b/>
          <w:color w:val="000000"/>
          <w:sz w:val="20"/>
        </w:rPr>
      </w:pPr>
      <w:bookmarkStart w:id="7" w:name="onkure_stmt_cashflow"/>
      <w:bookmarkEnd w:id="7"/>
      <w:r>
        <w:rPr>
          <w:rFonts w:ascii="Times New Roman" w:hAnsi="Times New Roman"/>
          <w:b/>
          <w:color w:val="000000"/>
          <w:sz w:val="20"/>
        </w:rPr>
        <w:t>CONDENSED CONSOLIDATED STATEMENTS OF CASH FLOWS</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098"/>
        <w:gridCol w:w="211"/>
        <w:gridCol w:w="781"/>
        <w:gridCol w:w="166"/>
        <w:gridCol w:w="146"/>
        <w:gridCol w:w="211"/>
        <w:gridCol w:w="781"/>
        <w:gridCol w:w="811"/>
      </w:tblGrid>
      <w:tr>
        <w:trPr/>
        <w:tc>
          <w:tcPr>
            <w:tcW w:w="7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w:t>
              <w:br/>
              <w:t>   in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right-of-use asset - operating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marketable securities,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accrued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Class A Common Stock and pre-funded warrants in connection with 2026 Private Placement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 associated with the 2026 Private Placement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stock under the employee stock purchase plan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 associated with the Concurrent Financing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reverse recapitalization transaction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Leased assets obtained in exchange for operating lease liabilities, upon extension</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2026 Private Placement issuance costs included in accounts payable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0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rFonts w:ascii="Calibri" w:hAnsi="Calibri"/>
          <w:sz w:val="20"/>
        </w:rPr>
      </w:pPr>
      <w:r>
        <w:rPr>
          <w:rFonts w:ascii="Times New Roman" w:hAnsi="Times New Roman"/>
          <w:i/>
          <w:color w:val="000000"/>
          <w:sz w:val="20"/>
        </w:rPr>
        <w:br/>
      </w:r>
      <w:r>
        <w:rPr>
          <w:rFonts w:ascii="Calibri" w:hAnsi="Calibri"/>
          <w:color w:val="000000"/>
          <w:sz w:val="20"/>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ONKURE THERAPEUTICS, INC.</w:t>
      </w:r>
    </w:p>
    <w:p>
      <w:pPr>
        <w:pStyle w:val="TextBody"/>
        <w:bidi w:val="0"/>
        <w:spacing w:before="240" w:after="283"/>
        <w:jc w:val="center"/>
        <w:rPr>
          <w:rFonts w:ascii="Times New Roman" w:hAnsi="Times New Roman"/>
          <w:b/>
          <w:color w:val="000000"/>
          <w:sz w:val="20"/>
        </w:rPr>
      </w:pPr>
      <w:bookmarkStart w:id="8" w:name="consolidated"/>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Business</w:t>
      </w:r>
    </w:p>
    <w:p>
      <w:pPr>
        <w:pStyle w:val="TextBody"/>
        <w:bidi w:val="0"/>
        <w:spacing w:before="120" w:after="283"/>
        <w:jc w:val="left"/>
        <w:rPr>
          <w:rFonts w:ascii="Calibri" w:hAnsi="Calibri"/>
          <w:sz w:val="20"/>
        </w:rPr>
      </w:pPr>
      <w:r>
        <w:rPr>
          <w:rFonts w:ascii="Times New Roman" w:hAnsi="Times New Roman"/>
          <w:color w:val="000000"/>
          <w:sz w:val="20"/>
        </w:rPr>
        <w:t xml:space="preserve">OnKure Therapeutics, Inc. (“OnKure” or the “Company”) is a clinical-stage biopharmaceutical company focused on the discovery and development of precision medicines that target biologically validated drivers of vascular anomalies and cancers that are underserved by available therapies. Using a structure- </w:t>
      </w:r>
      <w:r>
        <w:rPr>
          <w:rFonts w:ascii="Times New Roman" w:hAnsi="Times New Roman"/>
          <w:color w:val="231F20"/>
          <w:sz w:val="20"/>
        </w:rPr>
        <w:t xml:space="preserve">and computational chemistry-driven </w:t>
      </w:r>
      <w:r>
        <w:rPr>
          <w:rFonts w:ascii="Times New Roman" w:hAnsi="Times New Roman"/>
          <w:color w:val="000000"/>
          <w:sz w:val="20"/>
        </w:rPr>
        <w:t>drug design platform, OnKure is committed to improving clinical outcomes for patients by building a pipeline of small molecule drugs designed to selectively target specific mutations thought to be key drivers of cancer and vascular anomalies. The Company was formed in 2014 as Reneo Pharmaceuticals, Inc. (“Reneo”) under the laws of the State of Delaware. On October 4, 2024, the Company changed its name to OnKure Therapeutics, Inc.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Merger with Reneo</w:t>
      </w:r>
    </w:p>
    <w:p>
      <w:pPr>
        <w:pStyle w:val="TextBody"/>
        <w:bidi w:val="0"/>
        <w:spacing w:before="120" w:after="283"/>
        <w:jc w:val="left"/>
        <w:rPr>
          <w:rFonts w:ascii="Calibri" w:hAnsi="Calibri"/>
          <w:sz w:val="20"/>
        </w:rPr>
      </w:pPr>
      <w:r>
        <w:rPr>
          <w:rFonts w:ascii="Times New Roman" w:hAnsi="Times New Roman"/>
          <w:color w:val="000000"/>
          <w:sz w:val="20"/>
        </w:rPr>
        <w:t>On October 4, 2024, Radiate Merger Sub I, Inc. (“Merger Sub I”) a wholly owned subsidiary of Reneo completed its merger with and into OnKure, Inc. (referred to herein as “Legacy OnKure”), with Legacy OnKure continuing as the surviving entity as a wholly owned subsidiary of Reneo. This transaction is referred to as the “Merger.” Following the Merger, Reneo changed its name to OnKure Therapeutics, Inc. Legacy OnKure was subsequently merged into the Company. The Merger was effected pursuant to an Agreement and Plan of Merger, dated as of May 10, 2024</w:t>
      </w:r>
      <w:r>
        <w:rPr>
          <w:rFonts w:ascii="Calibri" w:hAnsi="Calibri"/>
          <w:color w:val="000000"/>
          <w:sz w:val="20"/>
        </w:rPr>
        <w:t xml:space="preserve"> </w:t>
      </w:r>
      <w:r>
        <w:rPr>
          <w:rFonts w:ascii="Times New Roman" w:hAnsi="Times New Roman"/>
          <w:color w:val="000000"/>
          <w:sz w:val="20"/>
        </w:rPr>
        <w:t>(the “Merger Agreement”), by and among Reneo, Radiate Merger Sub I, Inc., a Delaware corporation Radiate Merger Sub II, LLC, a Delaware limited liability company (“Merger Sub II”), and Legacy OnKure. In connection with the Merger Agreement, certain parties entered into a subscription agreement with the Company to purchase shares of Reneo’s common stock for an aggregate purchase price of $65.0</w:t>
      </w:r>
      <w:r>
        <w:rPr>
          <w:rFonts w:ascii="Calibri" w:hAnsi="Calibri"/>
          <w:color w:val="000000"/>
          <w:sz w:val="20"/>
        </w:rPr>
        <w:t xml:space="preserve"> </w:t>
      </w:r>
      <w:r>
        <w:rPr>
          <w:rFonts w:ascii="Times New Roman" w:hAnsi="Times New Roman"/>
          <w:color w:val="000000"/>
          <w:sz w:val="20"/>
        </w:rPr>
        <w:t>million contingent upon the concurrent consummation of the Merger (the “Concurrent Financing”). On October 4, 2024 (the “Merger Closing Date”), the Merger and the Concurrent Financing closed.</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The Merger was accounted for as a reverse recapitalization in accordance with accounting principles generally accepted in the United States of America (“GAAP”). For accounting purposes, Legacy OnKure is considered the accounting acquirer and Reneo is the acquired company based on the terms of the Merger Agreement and other factors, such as relative voting rights and the composition of the Company’s board of directors and senior management. Accordingly, the Merger was treated as the equivalent of Legacy OnKure issuing stock to acquire the net assets of Reneo. As a result of the Merger, the net assets of Reneo were recorded at their acquisition-date fair value in the financial statements of the Company and the reported operating results prior to the Merger are those of Legacy OnKure. Legacy OnKure’s historical financial statements became the historical consolidated financial statements of the Company.</w:t>
      </w:r>
      <w:r>
        <w:rPr>
          <w:rFonts w:ascii="Calibri" w:hAnsi="Calibri"/>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of the Company (the “Board”) discusses with management macroeconomic and geopolitical developments, including inflation, instability in the banking and financial services sector, tightening of the credit markets, international conflicts, cybersecurity, tariffs, and sanctions so that the Company can be prepared to react to new developments as they arise. The Board and the management of the Company are carefully monitoring these developments and the resulting economic impact on the Company’s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Calibri" w:hAnsi="Calibri"/>
          <w:sz w:val="20"/>
        </w:rPr>
      </w:pPr>
      <w:r>
        <w:rPr>
          <w:rFonts w:ascii="Times New Roman" w:hAnsi="Times New Roman"/>
          <w:color w:val="000000"/>
          <w:sz w:val="20"/>
        </w:rPr>
        <w:t>The Company had recurring losses from operations, an accumulated deficit of $244.7</w:t>
      </w:r>
      <w:r>
        <w:rPr>
          <w:rFonts w:ascii="Calibri" w:hAnsi="Calibri"/>
          <w:color w:val="000000"/>
          <w:sz w:val="20"/>
        </w:rPr>
        <w:t xml:space="preserve"> </w:t>
      </w:r>
      <w:r>
        <w:rPr>
          <w:rFonts w:ascii="Times New Roman" w:hAnsi="Times New Roman"/>
          <w:color w:val="000000"/>
          <w:sz w:val="20"/>
        </w:rPr>
        <w:t>million, and cash, cash equivalents and marketable securities of $176.4</w:t>
      </w:r>
      <w:r>
        <w:rPr>
          <w:rFonts w:ascii="Calibri" w:hAnsi="Calibri"/>
          <w:color w:val="000000"/>
          <w:sz w:val="20"/>
        </w:rPr>
        <w:t xml:space="preserve"> </w:t>
      </w:r>
      <w:r>
        <w:rPr>
          <w:rFonts w:ascii="Times New Roman" w:hAnsi="Times New Roman"/>
          <w:color w:val="000000"/>
          <w:sz w:val="20"/>
        </w:rPr>
        <w:t>million</w:t>
      </w:r>
      <w:r>
        <w:rPr>
          <w:rFonts w:ascii="Calibri" w:hAnsi="Calibri"/>
          <w:color w:val="000000"/>
          <w:sz w:val="20"/>
        </w:rPr>
        <w:t xml:space="preserve"> </w:t>
      </w:r>
      <w:r>
        <w:rPr>
          <w:rFonts w:ascii="Times New Roman" w:hAnsi="Times New Roman"/>
          <w:color w:val="000000"/>
          <w:sz w:val="20"/>
        </w:rPr>
        <w:t>as of June 30, 2026. The Company’s ability to fund its ongoing operations is highly dependent upon raising additional capital through the issuance of equity securities, issuing debt or other financing vehicles.</w:t>
      </w:r>
    </w:p>
    <w:p>
      <w:pPr>
        <w:pStyle w:val="TextBody"/>
        <w:bidi w:val="0"/>
        <w:spacing w:before="120" w:after="283"/>
        <w:jc w:val="left"/>
        <w:rPr>
          <w:rFonts w:ascii="Calibri" w:hAnsi="Calibri"/>
          <w:sz w:val="20"/>
        </w:rPr>
      </w:pPr>
      <w:r>
        <w:rPr>
          <w:rFonts w:ascii="Times New Roman" w:hAnsi="Times New Roman"/>
          <w:color w:val="000000"/>
          <w:sz w:val="20"/>
        </w:rPr>
        <w:t>On November 6, 2025, the Company filed a shelf registration statement with the U.S. Securities and Exchange Commission (“SEC”) on Form S-3, which became effective with the SEC on November 25, 2025, and</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that allows it to undertake various equity and debt offerings (the “Registration Statement”). Additionally, the Company filed a prospectus supplement to the Registration Statement and entered into a sales agreement (the “ATM Sales Agreement”) with Leerink Partners LLC (“Leerink Partners”) under which the Company may offer and sell shares (the “ATM Placement Shares”) of the Company’s Class A common stock, $0.0001</w:t>
      </w:r>
      <w:r>
        <w:rPr>
          <w:rFonts w:ascii="Calibri" w:hAnsi="Calibri"/>
          <w:color w:val="000000"/>
          <w:sz w:val="20"/>
        </w:rPr>
        <w:t xml:space="preserve"> </w:t>
      </w:r>
      <w:r>
        <w:rPr>
          <w:rFonts w:ascii="Times New Roman" w:hAnsi="Times New Roman"/>
          <w:color w:val="000000"/>
          <w:sz w:val="20"/>
        </w:rPr>
        <w:t>par value per share (the “Common Stock”), from time to time</w:t>
      </w:r>
      <w:r>
        <w:rPr>
          <w:rFonts w:ascii="Calibri" w:hAnsi="Calibri"/>
          <w:color w:val="000000"/>
          <w:sz w:val="20"/>
        </w:rPr>
        <w:t xml:space="preserve"> </w:t>
      </w:r>
      <w:r>
        <w:rPr>
          <w:rFonts w:ascii="Times New Roman" w:hAnsi="Times New Roman"/>
          <w:color w:val="000000"/>
          <w:sz w:val="20"/>
        </w:rPr>
        <w:t>having aggregate sales proceeds of up to $16.0</w:t>
      </w:r>
      <w:r>
        <w:rPr>
          <w:rFonts w:ascii="Calibri" w:hAnsi="Calibri"/>
          <w:color w:val="000000"/>
          <w:sz w:val="20"/>
        </w:rPr>
        <w:t xml:space="preserve"> </w:t>
      </w:r>
      <w:r>
        <w:rPr>
          <w:rFonts w:ascii="Times New Roman" w:hAnsi="Times New Roman"/>
          <w:color w:val="000000"/>
          <w:sz w:val="20"/>
        </w:rPr>
        <w:t>million, through an “at the market offering” program (the “ATM”) under which Leerink Partners acts as sales agent. The Company has not yet offered or sold any shares of Common Stock under the ATM. See Note 9 for further discussion.</w:t>
      </w:r>
    </w:p>
    <w:p>
      <w:pPr>
        <w:pStyle w:val="TextBody"/>
        <w:bidi w:val="0"/>
        <w:spacing w:before="120" w:after="283"/>
        <w:jc w:val="left"/>
        <w:rPr>
          <w:rFonts w:ascii="Calibri" w:hAnsi="Calibri"/>
          <w:sz w:val="20"/>
        </w:rPr>
      </w:pPr>
      <w:r>
        <w:rPr>
          <w:rFonts w:ascii="Times New Roman" w:hAnsi="Times New Roman"/>
          <w:color w:val="000000"/>
          <w:sz w:val="20"/>
        </w:rPr>
        <w:t>On March 31, 2026 the Company closed the 2026 Private Placement (as defined below). The aggregate gross proceeds from the 2026 Private Placement were approximately $150.0</w:t>
      </w:r>
      <w:r>
        <w:rPr>
          <w:rFonts w:ascii="Calibri" w:hAnsi="Calibri"/>
          <w:color w:val="000000"/>
          <w:sz w:val="20"/>
        </w:rPr>
        <w:t xml:space="preserve"> </w:t>
      </w:r>
      <w:r>
        <w:rPr>
          <w:rFonts w:ascii="Times New Roman" w:hAnsi="Times New Roman"/>
          <w:color w:val="000000"/>
          <w:sz w:val="20"/>
        </w:rPr>
        <w:t>million, before deducting placement agent fees and offering expenses. See Note 9 for further discussion.</w:t>
      </w:r>
    </w:p>
    <w:p>
      <w:pPr>
        <w:pStyle w:val="TextBody"/>
        <w:bidi w:val="0"/>
        <w:spacing w:before="120" w:after="283"/>
        <w:jc w:val="left"/>
        <w:rPr>
          <w:rFonts w:ascii="Calibri" w:hAnsi="Calibri"/>
          <w:sz w:val="20"/>
        </w:rPr>
      </w:pPr>
      <w:r>
        <w:rPr>
          <w:rFonts w:ascii="Times New Roman" w:hAnsi="Times New Roman"/>
          <w:color w:val="000000"/>
          <w:sz w:val="20"/>
        </w:rPr>
        <w:t>The Company expects to continue to generate operating losses in the foreseeable future. The Company’s ability to secure additional capital principally depends on its potential for success in discovering and developing its product candidates. The Company cannot provide assurance that additional capital will be available on acceptable terms, if at all. The issuance of additional equity or debt securities will likely result in substantial dilution to the Company’s stockholders. Should additional capital not be available to the Company, or not be available on acceptable terms, the Company may be required to modify its operational plans and may be unable to realize value from its assets or discharge its liabilities in the normal course of business, which may, among other alternatives, cause the Company to delay, substantially reduce, or discontinue operational activities to conserve cash, which could have a material adverse effect on the Company’s ability to achieve its intended business objectives.</w:t>
      </w:r>
      <w:r>
        <w:rPr>
          <w:rFonts w:ascii="Calibri" w:hAnsi="Calibri"/>
          <w:color w:val="000000"/>
          <w:sz w:val="20"/>
        </w:rPr>
        <w:t xml:space="preserve"> </w:t>
      </w:r>
    </w:p>
    <w:p>
      <w:pPr>
        <w:pStyle w:val="TextBody"/>
        <w:bidi w:val="0"/>
        <w:spacing w:before="120" w:after="120"/>
        <w:jc w:val="left"/>
        <w:rPr>
          <w:rFonts w:ascii="Calibri" w:hAnsi="Calibri"/>
          <w:sz w:val="20"/>
        </w:rPr>
      </w:pPr>
      <w:r>
        <w:rPr>
          <w:rFonts w:ascii="Times New Roman" w:hAnsi="Times New Roman"/>
          <w:color w:val="000000"/>
          <w:sz w:val="20"/>
        </w:rPr>
        <w:t>The accompanying financial statements have been prepared assuming that the Company will continue as a going concern, which contemplates the realization of assets and the settlement of liabilities and commitments in the normal course of business. As of December 31, 2025, the Company had determined that substantial doubt about the Company’s ability to continue as a going concern for a period of at least 12 months from the date of the issuance of those financial statements did exist. However, following completion of the 2026 Private Placement (see Note 9), management believes the Company’s cash, cash equivalents and marketable securities will be sufficient to fund its current operating plan for at least the next 12 months from the date of issuance of these condensed consolidated financial statements and as such substantial doubt has been alleviated.</w:t>
      </w:r>
      <w:r>
        <w:rPr>
          <w:rFonts w:ascii="Calibri" w:hAnsi="Calibri"/>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120" w:after="283"/>
        <w:jc w:val="left"/>
        <w:rPr>
          <w:rFonts w:ascii="Calibri" w:hAnsi="Calibri"/>
          <w:sz w:val="20"/>
        </w:rPr>
      </w:pPr>
      <w:r>
        <w:rPr>
          <w:rFonts w:ascii="Times New Roman" w:hAnsi="Times New Roman"/>
          <w:color w:val="000000"/>
          <w:sz w:val="20"/>
        </w:rPr>
        <w:t>The unaudited Condensed Consolidated Financial Statements of the Company have been prepared in accordance with GAAP for interim financial information and with the rules and regulations of the SEC. Accordingly, since they are interim statements, they do not include all of the information and notes required by GAAP for complete consolidated financial statements. The Company’s condensed consolidated financial statements reflect the operation of the Company and its former wholly owned subsidiaries OnKure, Inc. and Merger Sub II. As of December 31, 2025, all subsidiaries had been merged into the Company. All intercompany balances and transactions among the consolidated entities have been eliminated in consolidation.</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of normal recurring accruals) considered necessary for a fair presentation have been included. Results of operations and cash flows for the interim periods presented herein are not necessarily indicative of the results that would be achieved during a full year of operations or in future periods. These unaudited Condensed Consolidated Financial Statements and notes thereto should be read in conjunction with the Consolidated Financial Statements and notes thereto included in the Company’s Form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 Available-for-Sale</w:t>
      </w:r>
    </w:p>
    <w:p>
      <w:pPr>
        <w:pStyle w:val="TextBody"/>
        <w:bidi w:val="0"/>
        <w:spacing w:before="120" w:after="283"/>
        <w:jc w:val="left"/>
        <w:rPr>
          <w:rFonts w:ascii="Calibri" w:hAnsi="Calibri"/>
          <w:sz w:val="20"/>
        </w:rPr>
      </w:pPr>
      <w:r>
        <w:rPr>
          <w:rFonts w:ascii="Times New Roman" w:hAnsi="Times New Roman"/>
          <w:color w:val="000000"/>
          <w:sz w:val="20"/>
        </w:rPr>
        <w:t>All marketable securities have been classified as “available-for-sale” and are carried at fair value, based upon quoted market prices. The Company considers its available-for-sale portfolio as available for use in current operations. Accordingly, the Company classifies its investments as short-term marketable securities, even though the stated maturity date may be one year or more beyond the current balance sheet date. Unrealized gains and losses, net of any related tax effects, are excluded from earnings and are included in other comprehensive income (loss) and reported as a separate component of stockholders’ equity until realized. Interest income, realized gains and losses, and credit-related losses, if any, on available-for-sale securities are included in other income. The cost of securities sold is based on the specific-identification method. The amortized cost of securities is adjusted for amortization of premiums and accretion of discounts to maturity. In accordance with the Company’s investment policy,</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invests in money market funds and U. S. government securities. The Company has not experienced any allowances for credit losses on its deposits of cash, cash equivalents, and marketable securities since inception.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Calibri" w:hAnsi="Calibri"/>
          <w:sz w:val="20"/>
        </w:rPr>
      </w:pPr>
      <w:r>
        <w:rPr>
          <w:rFonts w:ascii="Times New Roman" w:hAnsi="Times New Roman"/>
          <w:color w:val="000000"/>
          <w:sz w:val="20"/>
        </w:rPr>
        <w:t>The Company operates in one</w:t>
      </w:r>
      <w:r>
        <w:rPr>
          <w:rFonts w:ascii="Calibri" w:hAnsi="Calibri"/>
          <w:color w:val="000000"/>
          <w:sz w:val="20"/>
        </w:rPr>
        <w:t xml:space="preserve"> </w:t>
      </w:r>
      <w:r>
        <w:rPr>
          <w:rFonts w:ascii="Times New Roman" w:hAnsi="Times New Roman"/>
          <w:color w:val="000000"/>
          <w:sz w:val="20"/>
        </w:rPr>
        <w:t>operating segment: clinical research. All equipment and other property and equipment are physically located within the United States</w:t>
      </w:r>
      <w:r>
        <w:rPr>
          <w:rFonts w:ascii="Times New Roman" w:hAnsi="Times New Roman"/>
          <w:i/>
          <w:color w:val="000000"/>
          <w:sz w:val="20"/>
        </w:rPr>
        <w:t>.</w:t>
      </w:r>
      <w:r>
        <w:rPr>
          <w:rFonts w:ascii="Calibri" w:hAnsi="Calibri"/>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consolidated financial statements in accordance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Although these estimates are based on the Company’s knowledge of current events and actions it may take in the future, actual results may ultimately differ from these estimates. The most significant estimates relate to the accrual of external research and development expenses, and the fair value of stock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Comprehensive loss includes net loss as well as other changes in stockholders’ equity which includes certain changes in equity that are excluded from net loss. The Company’s only element of other comprehensive income is unrealized losses on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costs are expensed as incurred in performing research and development activities. The costs include employee-related expense, including salaries, severance, benefits, share-based compensation, costs of research and development activities conducted by third parties on the Company’s behalf, costs to have clinical trial materials manufactured, fees for acquiring and maintaining licenses under third-party license agreements, consulting fees, depreciation, and facilities and overhead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research and development expenses in the period in which it receives or takes ownership of the applicable goods or when the applicable services are performed. The Company is required to estimate its expenses resulting from its obligations under contracts with vendors, consultants, and contract research organizations, in connection with conducting research and development activities. The financial terms of these contracts are subject to negotiations, vary from contract to contract and may result in payment flows that do not match the periods over which materials or services are provided under such contracts. The Company reflects research and development expenses in its financial statements by matching those expenses with the period in which services and efforts are expended. The Company accounts for these expenses according to the progress of its preclinical studies or clinical trials, as measured by the timing of various aspects of the study or related activities. The Company determines accrual estimates through a review of the underlying contracts along with the preparation of financial models considering discussions with research and other key personnel as to the progress of studies, trials, or other services being conducted. During a study or trial, the Company adjusts its rate of expense recognition if actual results differ from its estimates. Nonrefundable advance payments for goods and services, including fees for process development or manufacturing and distribution of clinical supplies that will be used in future research and development activities, are deferred and recognized as an expense in the period that the related goods are consumed, or services are performed.</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Pre-funded Common Stock Warrants</w:t>
      </w:r>
    </w:p>
    <w:p>
      <w:pPr>
        <w:pStyle w:val="TextBody"/>
        <w:bidi w:val="0"/>
        <w:spacing w:before="0" w:after="120"/>
        <w:jc w:val="both"/>
        <w:rPr>
          <w:rFonts w:ascii="Calibri" w:hAnsi="Calibri"/>
          <w:sz w:val="20"/>
        </w:rPr>
      </w:pPr>
      <w:r>
        <w:rPr>
          <w:rFonts w:ascii="Times New Roman" w:hAnsi="Times New Roman"/>
          <w:color w:val="000000"/>
          <w:sz w:val="20"/>
        </w:rPr>
        <w:t xml:space="preserve">The Company accounts for warrants to purchase shares of its common stock in accordance with the guidance in ASC 480, </w:t>
      </w:r>
      <w:r>
        <w:rPr>
          <w:rFonts w:ascii="Times New Roman" w:hAnsi="Times New Roman"/>
          <w:i/>
          <w:color w:val="000000"/>
          <w:sz w:val="20"/>
        </w:rPr>
        <w:t>Distinguishing Liabilities from Equity</w:t>
      </w:r>
      <w:r>
        <w:rPr>
          <w:rFonts w:ascii="Calibri" w:hAnsi="Calibri"/>
          <w:color w:val="000000"/>
          <w:sz w:val="20"/>
        </w:rPr>
        <w:t xml:space="preserve"> </w:t>
      </w:r>
      <w:r>
        <w:rPr>
          <w:rFonts w:ascii="Times New Roman" w:hAnsi="Times New Roman"/>
          <w:color w:val="000000"/>
          <w:sz w:val="20"/>
        </w:rPr>
        <w:t xml:space="preserve">(“ASC 480”) and ASC 815, </w:t>
      </w:r>
      <w:r>
        <w:rPr>
          <w:rFonts w:ascii="Times New Roman" w:hAnsi="Times New Roman"/>
          <w:i/>
          <w:color w:val="000000"/>
          <w:sz w:val="20"/>
        </w:rPr>
        <w:t>Derivatives and Hedging</w:t>
      </w:r>
      <w:r>
        <w:rPr>
          <w:rFonts w:ascii="Calibri" w:hAnsi="Calibri"/>
          <w:color w:val="000000"/>
          <w:sz w:val="20"/>
        </w:rPr>
        <w:t xml:space="preserve"> </w:t>
      </w:r>
      <w:r>
        <w:rPr>
          <w:rFonts w:ascii="Times New Roman" w:hAnsi="Times New Roman"/>
          <w:color w:val="000000"/>
          <w:sz w:val="20"/>
        </w:rPr>
        <w:t>(“ASC 815”). The Company classifies warrants 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The Company determines the classification for its warrants at the time of issuance and updates its assessment as necessary. Warrants that meet all of the criteria for equity classification are recorded as a component of additional paid-in capital and are not subsequently remeasured. The 2026 PIPE Pre-Funded Warrants are classified as equity in the condensed consolidated financial statements.</w:t>
      </w:r>
      <w:r>
        <w:rPr>
          <w:rFonts w:ascii="Calibri" w:hAnsi="Calibri"/>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an equity incentive compensation plan under which incentive stock options and nonqualified stock options to purchase Common Stock, and restricted stock units for Common Stock, are granted to employees, board of directors, and non-employee consultants. Stock-based compensation cost is measured at the grant date, based on the fair value of the award, and is recognized as expense over the requisite service or performance period. The fair value of stock options granted to employees is estimated using the Black-Scholes option pricing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Black-Scholes valuation method requires certain assumptions be used as inputs, such as the fair value of the underlying Common Stock, expected term of the option before exercise, expected volatility of the Company’s Common Stock, risk-free interest rate and expected dividend. Options granted have a maximum contractual term of 10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on the historical volatility of several publicly traded companies in similar stages of clinical development. The Company will continue to apply this process until enough historical information regarding the volatility of its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 (See Note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stock-based compensation expense for grants under its various equity incentive plans and employee stock purchase plan. The Company accounts for all stock-based awards granted to employees and directors at their fair value and recognizes compensation expense over the award’s vesting period. Determining the amount of stock-based compensation to be recorded requires the Company to develop estimates of fair values of stock options as of the grant date. The Company calculates the grant date fair values of stock options using the Black-Scholes valuation model, which requires the input of subjective assumptions, including but not limited to expected stock price volatility over the term of the awards and the expected term of stock options. The fair value of restricted stock awards granted to employees is based on the quoted closing market price per share on grant date.</w:t>
      </w:r>
    </w:p>
    <w:p>
      <w:pPr>
        <w:pStyle w:val="TextBody"/>
        <w:bidi w:val="0"/>
        <w:spacing w:before="120" w:after="120"/>
        <w:jc w:val="left"/>
        <w:rPr>
          <w:rFonts w:ascii="Calibri" w:hAnsi="Calibri"/>
          <w:sz w:val="20"/>
        </w:rPr>
      </w:pPr>
      <w:r>
        <w:rPr>
          <w:rFonts w:ascii="Times New Roman" w:hAnsi="Times New Roman"/>
          <w:color w:val="000000"/>
          <w:sz w:val="20"/>
        </w:rPr>
        <w:t>The Company estimates stock awards fair value on the date of grant using the Black-Scholes valuation, with the vesting being subject to service requirements. The Company accounts for forfeitures when they occur.</w:t>
      </w:r>
      <w:r>
        <w:rPr>
          <w:rFonts w:ascii="Calibri" w:hAnsi="Calibri"/>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Calibri" w:hAnsi="Calibri"/>
          <w:sz w:val="20"/>
        </w:rPr>
      </w:pPr>
      <w:r>
        <w:rPr>
          <w:rFonts w:ascii="Times New Roman" w:hAnsi="Times New Roman"/>
          <w:color w:val="000000"/>
          <w:sz w:val="20"/>
        </w:rPr>
        <w:t>The Company is required to disclose information on all assets and liabilities reported at fair value that enables an assessment of the inputs used in determining the reported fair values.</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Company’s financial assets and liabilities, such as cash, cash equivalents, marketable securities, receivables, prepaid and other current assets, accounts payable, and accrued expenses approximate their fair values because of the short term nature of these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Calibri" w:hAnsi="Calibri"/>
          <w:sz w:val="20"/>
        </w:rPr>
      </w:pPr>
      <w:r>
        <w:rPr>
          <w:rFonts w:ascii="Times New Roman" w:hAnsi="Times New Roman"/>
          <w:color w:val="000000"/>
          <w:sz w:val="20"/>
        </w:rPr>
        <w:t>All highly liquid investments with maturities of 90 days or less, at the time of purchase, are classified as cash equivalents. Cash equivalents are reported at cost, which approximates fair value. The Company’s cash and cash equivalents consist of money held in demand depository accounts, money market funds and U. S. government securities with maturities of 90 days or less. The carrying amount of cash and cash equivalents was $166.5</w:t>
      </w:r>
      <w:r>
        <w:rPr>
          <w:rFonts w:ascii="Calibri" w:hAnsi="Calibri"/>
          <w:color w:val="000000"/>
          <w:sz w:val="20"/>
        </w:rPr>
        <w:t xml:space="preserve"> </w:t>
      </w:r>
      <w:r>
        <w:rPr>
          <w:rFonts w:ascii="Times New Roman" w:hAnsi="Times New Roman"/>
          <w:color w:val="000000"/>
          <w:sz w:val="20"/>
        </w:rPr>
        <w:t>million</w:t>
      </w:r>
      <w:r>
        <w:rPr>
          <w:rFonts w:ascii="Calibri" w:hAnsi="Calibri"/>
          <w:color w:val="000000"/>
          <w:sz w:val="20"/>
        </w:rPr>
        <w:t xml:space="preserve"> </w:t>
      </w:r>
      <w:r>
        <w:rPr>
          <w:rFonts w:ascii="Times New Roman" w:hAnsi="Times New Roman"/>
          <w:color w:val="000000"/>
          <w:sz w:val="20"/>
        </w:rPr>
        <w:t>and $59.1</w:t>
      </w:r>
      <w:r>
        <w:rPr>
          <w:rFonts w:ascii="Calibri" w:hAnsi="Calibri"/>
          <w:color w:val="000000"/>
          <w:sz w:val="20"/>
        </w:rPr>
        <w:t xml:space="preserve"> </w:t>
      </w:r>
      <w:r>
        <w:rPr>
          <w:rFonts w:ascii="Times New Roman" w:hAnsi="Times New Roman"/>
          <w:color w:val="000000"/>
          <w:sz w:val="20"/>
        </w:rPr>
        <w:t>million as of June 30, 2026 and December 31, 2025, respectively, which approximates fair value and was determined based upon Level 1 inputs. The money market account is valued using quoted market prices with no valuation adjustments applied and is categorized as Level 1.</w:t>
      </w:r>
      <w:r>
        <w:rPr>
          <w:rFonts w:ascii="Calibri" w:hAnsi="Calibri"/>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Calibri" w:hAnsi="Calibri"/>
          <w:sz w:val="20"/>
        </w:rPr>
      </w:pPr>
      <w:r>
        <w:rPr>
          <w:rFonts w:ascii="Times New Roman" w:hAnsi="Times New Roman"/>
          <w:color w:val="000000"/>
          <w:sz w:val="20"/>
        </w:rPr>
        <w:t>Financial instruments that potentially subject the Company to concentrations of credit risk consist primarily of cash, cash equivalents and marketable securities. The Company maintains accounts in federally insured financial</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institutions. At times, amounts held in federally insured accounts are above the federally insured limit of $250</w:t>
      </w:r>
      <w:r>
        <w:rPr>
          <w:rFonts w:ascii="Calibri" w:hAnsi="Calibri"/>
          <w:color w:val="000000"/>
          <w:sz w:val="20"/>
        </w:rPr>
        <w:t xml:space="preserve"> </w:t>
      </w:r>
      <w:r>
        <w:rPr>
          <w:rFonts w:ascii="Times New Roman" w:hAnsi="Times New Roman"/>
          <w:color w:val="000000"/>
          <w:sz w:val="20"/>
        </w:rPr>
        <w:t>thousand. Management believes the Company is not exposed to significant credit risk due to the financial position of the depository institutions in which these deposits are held and of the money market funds in which these investments are made.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Calibri" w:hAnsi="Calibri"/>
          <w:sz w:val="20"/>
        </w:rPr>
      </w:pPr>
      <w:r>
        <w:rPr>
          <w:rFonts w:ascii="Times New Roman" w:hAnsi="Times New Roman"/>
          <w:color w:val="000000"/>
          <w:sz w:val="20"/>
        </w:rPr>
        <w:t>The Company capitalizes certain legal, professional, accounting and other third-party fees that are directly associated with in-process equity issuances as deferred offering costs until such equity issuances are consummated. After consummation of the equity issuance, these costs are recorded as a reduction in the capitalized amount associated with the equity issuance. Should the equity issuance be abandoned, the deferred offering costs are expensed immediately as a charge to operating expenses in the statement of operations. Deferred offering costs as of June 30, 2026 and December 31, 2025 were $0.4</w:t>
      </w:r>
      <w:r>
        <w:rPr>
          <w:rFonts w:ascii="Calibri" w:hAnsi="Calibri"/>
          <w:color w:val="000000"/>
          <w:sz w:val="20"/>
        </w:rPr>
        <w:t xml:space="preserve"> </w:t>
      </w:r>
      <w:r>
        <w:rPr>
          <w:rFonts w:ascii="Times New Roman" w:hAnsi="Times New Roman"/>
          <w:color w:val="000000"/>
          <w:sz w:val="20"/>
        </w:rPr>
        <w:t>million</w:t>
      </w:r>
      <w:r>
        <w:rPr>
          <w:rFonts w:ascii="Calibri" w:hAnsi="Calibri"/>
          <w:color w:val="000000"/>
          <w:sz w:val="20"/>
        </w:rPr>
        <w:t xml:space="preserve"> </w:t>
      </w:r>
      <w:r>
        <w:rPr>
          <w:rFonts w:ascii="Times New Roman" w:hAnsi="Times New Roman"/>
          <w:color w:val="000000"/>
          <w:sz w:val="20"/>
        </w:rPr>
        <w:t>and $0.2</w:t>
      </w:r>
      <w:r>
        <w:rPr>
          <w:rFonts w:ascii="Calibri" w:hAnsi="Calibri"/>
          <w:color w:val="000000"/>
          <w:sz w:val="20"/>
        </w:rPr>
        <w:t xml:space="preserve"> </w:t>
      </w:r>
      <w:r>
        <w:rPr>
          <w:rFonts w:ascii="Times New Roman" w:hAnsi="Times New Roman"/>
          <w:color w:val="000000"/>
          <w:sz w:val="20"/>
        </w:rPr>
        <w:t>million. Such costs are classified in other non-current assets in the accompanying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Leasing – Lessee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The Company’s operating lease agreements are primarily for office space and research labs.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operating leases with a term greater than one year, the Company recognizes the right-of-use (“ROU”) assets and lease liabilities related to the lease payments on its balance sheet. The lease liabilities are initially and subsequently measured at the present value of the unpaid lease payments at the lease commencement date. The ROU assets represent the Company’s right to use the underlying assets for the term of the lease and the lease liabilities represent the Company’s obligation to make lease payments arising for the agreements. ROU assets are initially measured at cost, which comprises the initial amount of the lease liability adjusted for lease payments made at or before the lease commencement date, plus any initial direct costs incurred less any lease incentives received. The ROU asset is periodically reviewed for impairment unless a triggering event occurs. Lease expense for lease payments is recognized on a straight-line basis over the lease term. Variable lease payments, except for the ones that depend on index or rate, are excluded from the calculation of the ROU assets and lease liabilities and are recognized as variable lease expense in the statements of operations and comprehensive loss in the period in which they are incurred. Sublease inflows are netted against the respective lease outflows.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interest rate implicit in the Company’s leases is not readily determinable, the Company uses its estimated incremental borrowing rate in its present value calculations. Operating leases with a term of less than one year are recognized as a lease expense over the term of the lease, with no asset or liability recognized on the balance sheet.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Calibri" w:hAnsi="Calibri"/>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this pronouncement on its consolidated financial statements and related disclosures.</w:t>
      </w:r>
    </w:p>
    <w:p>
      <w:pPr>
        <w:pStyle w:val="TextBody"/>
        <w:bidi w:val="0"/>
        <w:spacing w:before="120" w:after="283"/>
        <w:jc w:val="left"/>
        <w:rPr>
          <w:rFonts w:ascii="Calibri" w:hAnsi="Calibri"/>
          <w:sz w:val="20"/>
        </w:rPr>
      </w:pPr>
      <w:r>
        <w:rPr>
          <w:rFonts w:ascii="Times New Roman" w:hAnsi="Times New Roman"/>
          <w:color w:val="000000"/>
          <w:sz w:val="20"/>
        </w:rPr>
        <w:t xml:space="preserve">In December 2025, the FASB issued </w:t>
      </w:r>
      <w:r>
        <w:rPr>
          <w:rFonts w:ascii="Times New Roman" w:hAnsi="Times New Roman"/>
          <w:i/>
          <w:color w:val="000000"/>
          <w:sz w:val="20"/>
        </w:rPr>
        <w:t xml:space="preserve">ASU 2025-11 Interim Reporting (Topic 270): Narrow-Scope Improvements. </w:t>
      </w:r>
      <w:r>
        <w:rPr>
          <w:rFonts w:ascii="Times New Roman" w:hAnsi="Times New Roman"/>
          <w:color w:val="000000"/>
          <w:sz w:val="20"/>
        </w:rPr>
        <w:t>This standard clarifies current interim reporting requirements on Topic 270 and introduces a disclosure principle requiring entities to disclose events since the end of the last annual reporting period that have a material impact on the entity. This standard will be effective for fiscal years beginning after December 15, 2027, with the option to apply it retrospectively. Early adoption is allowed. The Company is currently assessing the potential impact of this guidance on its consolidated financial statement disclosures.</w:t>
      </w:r>
    </w:p>
    <w:p>
      <w:pPr>
        <w:pStyle w:val="TextBody"/>
        <w:bidi w:val="0"/>
        <w:spacing w:before="120" w:after="283"/>
        <w:jc w:val="left"/>
        <w:rPr>
          <w:rFonts w:ascii="Calibri" w:hAnsi="Calibri"/>
          <w:sz w:val="20"/>
        </w:rPr>
      </w:pPr>
      <w:r>
        <w:rPr>
          <w:rFonts w:ascii="Times New Roman" w:hAnsi="Times New Roman"/>
          <w:color w:val="000000"/>
          <w:sz w:val="20"/>
        </w:rPr>
        <w:t xml:space="preserve">In December 2025, the FASB issued </w:t>
      </w:r>
      <w:r>
        <w:rPr>
          <w:rFonts w:ascii="Times New Roman" w:hAnsi="Times New Roman"/>
          <w:i/>
          <w:color w:val="000000"/>
          <w:sz w:val="20"/>
        </w:rPr>
        <w:t xml:space="preserve">ASU 2025-12 Codification Improvements. </w:t>
      </w:r>
      <w:r>
        <w:rPr>
          <w:rFonts w:ascii="Times New Roman" w:hAnsi="Times New Roman"/>
          <w:color w:val="000000"/>
          <w:sz w:val="20"/>
        </w:rPr>
        <w:t>This standard makes certain incremental improvements to generally accepted accounting principles. This standard will be effective for annual reporting periods beginning after December 15, 2026, and interim reporting periods within those annual periods. The Company is currently assessing the potential impact of this guidance on its consolidated financial statements and related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continues to monitor new accounting pronouncements issued by the FASB and does not believe any accounting pronouncements issued through the date of this report will have a material impact on its financial statements.</w:t>
      </w:r>
    </w:p>
    <w:p>
      <w:pPr>
        <w:pStyle w:val="TextBody"/>
        <w:bidi w:val="0"/>
        <w:spacing w:before="120" w:after="283"/>
        <w:jc w:val="left"/>
        <w:rPr>
          <w:rFonts w:ascii="Calibri" w:hAnsi="Calibri"/>
          <w:sz w:val="20"/>
        </w:rPr>
      </w:pPr>
      <w:r>
        <w:rPr>
          <w:rFonts w:ascii="Times New Roman" w:hAnsi="Times New Roman"/>
          <w:b/>
          <w:color w:val="000000"/>
          <w:sz w:val="20"/>
        </w:rPr>
        <w:t>3. Segment</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The Company is a publicly listed company focused on the development of clinical and pre-clinical product candidates with a single</w:t>
      </w:r>
      <w:r>
        <w:rPr>
          <w:rFonts w:ascii="Calibri" w:hAnsi="Calibri"/>
          <w:color w:val="000000"/>
          <w:sz w:val="20"/>
        </w:rPr>
        <w:t xml:space="preserve"> </w:t>
      </w:r>
      <w:r>
        <w:rPr>
          <w:rFonts w:ascii="Times New Roman" w:hAnsi="Times New Roman"/>
          <w:color w:val="000000"/>
          <w:sz w:val="20"/>
        </w:rPr>
        <w:t>reportable segment: clinical research. The accounting policies of the clinical research segment are the same as those described in the summary of significant accounting policies.</w:t>
      </w:r>
    </w:p>
    <w:p>
      <w:pPr>
        <w:pStyle w:val="TextBody"/>
        <w:bidi w:val="0"/>
        <w:spacing w:before="120" w:after="283"/>
        <w:jc w:val="left"/>
        <w:rPr>
          <w:rFonts w:ascii="Calibri" w:hAnsi="Calibri"/>
          <w:sz w:val="20"/>
        </w:rPr>
      </w:pPr>
      <w:r>
        <w:rPr>
          <w:rFonts w:ascii="Times New Roman" w:hAnsi="Times New Roman"/>
          <w:color w:val="000000"/>
          <w:sz w:val="20"/>
        </w:rPr>
        <w:t>The Company has yet to generate revenue and anticipates substantial expenses and operating losses as it advances its product candidates through clinical trials and regulatory processes.</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The Company’s Chief Operating Decision Maker (“CODM”) is the senior executive committee that is comprised of the Chief Executive Officer and the Chief Financial Officer. The CODM assesses financial performance primarily using operating expenses as reported on the statement of operations, supplemented by internal budget and forecast models to guide resource allocation and performance evaluation. Segment assets are reported as total assets on the Company’s consolidated balance sheet, and segment loss is reflected as net loss in the Company’s consolidated statements of operations and comprehensive loss, effectively mirroring the Company’s overall financial position due to its single-segment structure.</w:t>
      </w:r>
      <w:r>
        <w:rPr>
          <w:rFonts w:ascii="Calibri" w:hAnsi="Calibri"/>
          <w:color w:val="000000"/>
          <w:sz w:val="20"/>
        </w:rPr>
        <w:t xml:space="preserve"> </w:t>
      </w:r>
      <w:r>
        <w:rPr>
          <w:rFonts w:ascii="Times New Roman" w:hAnsi="Times New Roman"/>
          <w:color w:val="000000"/>
          <w:sz w:val="20"/>
        </w:rPr>
        <w:t>The Company does not have intra-entity sales or transfers.</w:t>
      </w:r>
    </w:p>
    <w:p>
      <w:pPr>
        <w:pStyle w:val="TextBody"/>
        <w:bidi w:val="0"/>
        <w:spacing w:before="120" w:after="120"/>
        <w:jc w:val="left"/>
        <w:rPr/>
      </w:pPr>
      <w:r>
        <w:rPr/>
        <w:t> </w:t>
      </w:r>
    </w:p>
    <w:tbl>
      <w:tblPr>
        <w:tblW w:w="8516" w:type="dxa"/>
        <w:jc w:val="left"/>
        <w:tblInd w:w="0" w:type="dxa"/>
        <w:tblLayout w:type="fixed"/>
        <w:tblCellMar>
          <w:top w:w="28" w:type="dxa"/>
          <w:left w:w="28" w:type="dxa"/>
          <w:bottom w:w="28" w:type="dxa"/>
          <w:right w:w="28" w:type="dxa"/>
        </w:tblCellMar>
      </w:tblPr>
      <w:tblGrid>
        <w:gridCol w:w="3241"/>
        <w:gridCol w:w="211"/>
        <w:gridCol w:w="676"/>
        <w:gridCol w:w="166"/>
        <w:gridCol w:w="146"/>
        <w:gridCol w:w="211"/>
        <w:gridCol w:w="676"/>
        <w:gridCol w:w="166"/>
        <w:gridCol w:w="146"/>
        <w:gridCol w:w="211"/>
        <w:gridCol w:w="676"/>
        <w:gridCol w:w="166"/>
        <w:gridCol w:w="146"/>
        <w:gridCol w:w="211"/>
        <w:gridCol w:w="676"/>
        <w:gridCol w:w="791"/>
      </w:tblGrid>
      <w:tr>
        <w:trPr/>
        <w:tc>
          <w:tcPr>
            <w:tcW w:w="3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4"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Clinical Research Segment</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program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program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Workforce salaries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corporate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Segment 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loss: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Adjustments and reconciling items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Leases</w:t>
      </w:r>
    </w:p>
    <w:p>
      <w:pPr>
        <w:pStyle w:val="TextBody"/>
        <w:bidi w:val="0"/>
        <w:spacing w:before="120" w:after="283"/>
        <w:jc w:val="left"/>
        <w:rPr>
          <w:rFonts w:ascii="Calibri" w:hAnsi="Calibri"/>
          <w:sz w:val="20"/>
        </w:rPr>
      </w:pPr>
      <w:r>
        <w:rPr>
          <w:rFonts w:ascii="Times New Roman" w:hAnsi="Times New Roman"/>
          <w:color w:val="000000"/>
          <w:sz w:val="20"/>
        </w:rPr>
        <w:t>The Company’s headquarters are located in Boulder, Colorado, where it</w:t>
      </w:r>
      <w:r>
        <w:rPr>
          <w:rFonts w:ascii="Calibri" w:hAnsi="Calibri"/>
          <w:color w:val="000000"/>
          <w:sz w:val="20"/>
        </w:rPr>
        <w:t xml:space="preserve"> </w:t>
      </w:r>
      <w:r>
        <w:rPr>
          <w:rFonts w:ascii="Times New Roman" w:hAnsi="Times New Roman"/>
          <w:color w:val="000000"/>
          <w:sz w:val="20"/>
        </w:rPr>
        <w:t>leases office and lab facilities under operating leases that were amended in June 2026 to extend the lease for an additional three year period and which expire in December 2029, resulting in an additional $653</w:t>
      </w:r>
      <w:r>
        <w:rPr>
          <w:rFonts w:ascii="Calibri" w:hAnsi="Calibri"/>
          <w:color w:val="000000"/>
          <w:sz w:val="20"/>
        </w:rPr>
        <w:t xml:space="preserve"> </w:t>
      </w:r>
      <w:r>
        <w:rPr>
          <w:rFonts w:ascii="Times New Roman" w:hAnsi="Times New Roman"/>
          <w:color w:val="000000"/>
          <w:sz w:val="20"/>
        </w:rPr>
        <w:t>thousand ROU asset and lease liabilities recognized in June 2026. In the Merger with Reneo, the Company assumed the lease in Irvine, California, where it leases office space under a lease agreement that expires in November 2026 (the “Irvine lease”). In January 2025, the Company entered into a sublease on the Irvine lease for all of the leased square footage, which expires in November 2026. Payments under the sublease for the three and six months ended June 30, 2026</w:t>
      </w:r>
      <w:r>
        <w:rPr>
          <w:rFonts w:ascii="Calibri" w:hAnsi="Calibri"/>
          <w:color w:val="000000"/>
          <w:sz w:val="20"/>
        </w:rPr>
        <w:t xml:space="preserve"> </w:t>
      </w:r>
      <w:r>
        <w:rPr>
          <w:rFonts w:ascii="Times New Roman" w:hAnsi="Times New Roman"/>
          <w:color w:val="000000"/>
          <w:sz w:val="20"/>
        </w:rPr>
        <w:t>were $61</w:t>
      </w:r>
      <w:r>
        <w:rPr>
          <w:rFonts w:ascii="Calibri" w:hAnsi="Calibri"/>
          <w:color w:val="000000"/>
          <w:sz w:val="20"/>
        </w:rPr>
        <w:t xml:space="preserve"> </w:t>
      </w:r>
      <w:r>
        <w:rPr>
          <w:rFonts w:ascii="Times New Roman" w:hAnsi="Times New Roman"/>
          <w:color w:val="000000"/>
          <w:sz w:val="20"/>
        </w:rPr>
        <w:t>and $122</w:t>
      </w:r>
      <w:r>
        <w:rPr>
          <w:rFonts w:ascii="Calibri" w:hAnsi="Calibri"/>
          <w:color w:val="000000"/>
          <w:sz w:val="20"/>
        </w:rPr>
        <w:t xml:space="preserve"> </w:t>
      </w:r>
      <w:r>
        <w:rPr>
          <w:rFonts w:ascii="Times New Roman" w:hAnsi="Times New Roman"/>
          <w:color w:val="000000"/>
          <w:sz w:val="20"/>
        </w:rPr>
        <w:t>thousand, respectively, and were netted against operating lease costs in the Statement of Operations. Payments under the sublease for the three and six months ended June 30, 2025</w:t>
      </w:r>
      <w:r>
        <w:rPr>
          <w:rFonts w:ascii="Calibri" w:hAnsi="Calibri"/>
          <w:color w:val="000000"/>
          <w:sz w:val="20"/>
        </w:rPr>
        <w:t xml:space="preserve"> </w:t>
      </w:r>
      <w:r>
        <w:rPr>
          <w:rFonts w:ascii="Times New Roman" w:hAnsi="Times New Roman"/>
          <w:color w:val="000000"/>
          <w:sz w:val="20"/>
        </w:rPr>
        <w:t>were $59</w:t>
      </w:r>
      <w:r>
        <w:rPr>
          <w:rFonts w:ascii="Calibri" w:hAnsi="Calibri"/>
          <w:color w:val="000000"/>
          <w:sz w:val="20"/>
        </w:rPr>
        <w:t xml:space="preserve"> </w:t>
      </w:r>
      <w:r>
        <w:rPr>
          <w:rFonts w:ascii="Times New Roman" w:hAnsi="Times New Roman"/>
          <w:color w:val="000000"/>
          <w:sz w:val="20"/>
        </w:rPr>
        <w:t>thousand and $113</w:t>
      </w:r>
      <w:r>
        <w:rPr>
          <w:rFonts w:ascii="Calibri" w:hAnsi="Calibri"/>
          <w:color w:val="000000"/>
          <w:sz w:val="20"/>
        </w:rPr>
        <w:t xml:space="preserve"> </w:t>
      </w:r>
      <w:r>
        <w:rPr>
          <w:rFonts w:ascii="Times New Roman" w:hAnsi="Times New Roman"/>
          <w:color w:val="000000"/>
          <w:sz w:val="20"/>
        </w:rPr>
        <w:t>thousand, respectively, and were netted against operating lease costs in the Statement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ROU assets and lease liabilities for operating leases as included in the Company’s financial statements are as follows (in thousands):</w:t>
      </w:r>
    </w:p>
    <w:tbl>
      <w:tblPr>
        <w:tblW w:w="6300" w:type="dxa"/>
        <w:jc w:val="left"/>
        <w:tblInd w:w="0" w:type="dxa"/>
        <w:tblLayout w:type="fixed"/>
        <w:tblCellMar>
          <w:top w:w="28" w:type="dxa"/>
          <w:left w:w="28" w:type="dxa"/>
          <w:bottom w:w="28" w:type="dxa"/>
          <w:right w:w="28" w:type="dxa"/>
        </w:tblCellMar>
      </w:tblPr>
      <w:tblGrid>
        <w:gridCol w:w="3136"/>
        <w:gridCol w:w="146"/>
        <w:gridCol w:w="270"/>
        <w:gridCol w:w="540"/>
        <w:gridCol w:w="146"/>
        <w:gridCol w:w="146"/>
        <w:gridCol w:w="574"/>
        <w:gridCol w:w="1151"/>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Lease expense for operating leases, net of sublease receipts, as included in the Company’s financial statements are as follows (in thousands):</w:t>
      </w:r>
    </w:p>
    <w:tbl>
      <w:tblPr>
        <w:tblW w:w="5233" w:type="dxa"/>
        <w:jc w:val="left"/>
        <w:tblInd w:w="0" w:type="dxa"/>
        <w:tblLayout w:type="fixed"/>
        <w:tblCellMar>
          <w:top w:w="28" w:type="dxa"/>
          <w:left w:w="28" w:type="dxa"/>
          <w:bottom w:w="28" w:type="dxa"/>
          <w:right w:w="28" w:type="dxa"/>
        </w:tblCellMar>
      </w:tblPr>
      <w:tblGrid>
        <w:gridCol w:w="1966"/>
        <w:gridCol w:w="218"/>
        <w:gridCol w:w="327"/>
        <w:gridCol w:w="151"/>
        <w:gridCol w:w="151"/>
        <w:gridCol w:w="218"/>
        <w:gridCol w:w="327"/>
        <w:gridCol w:w="146"/>
        <w:gridCol w:w="146"/>
        <w:gridCol w:w="218"/>
        <w:gridCol w:w="327"/>
        <w:gridCol w:w="151"/>
        <w:gridCol w:w="151"/>
        <w:gridCol w:w="218"/>
        <w:gridCol w:w="327"/>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Lease term, discount rates, and additional information for operating leases are as follows (in thousands):</w:t>
      </w:r>
    </w:p>
    <w:tbl>
      <w:tblPr>
        <w:tblW w:w="7714" w:type="dxa"/>
        <w:jc w:val="left"/>
        <w:tblInd w:w="0" w:type="dxa"/>
        <w:tblLayout w:type="fixed"/>
        <w:tblCellMar>
          <w:top w:w="28" w:type="dxa"/>
          <w:left w:w="28" w:type="dxa"/>
          <w:bottom w:w="28" w:type="dxa"/>
          <w:right w:w="28" w:type="dxa"/>
        </w:tblCellMar>
      </w:tblPr>
      <w:tblGrid>
        <w:gridCol w:w="5471"/>
        <w:gridCol w:w="146"/>
        <w:gridCol w:w="211"/>
        <w:gridCol w:w="421"/>
        <w:gridCol w:w="271"/>
        <w:gridCol w:w="146"/>
        <w:gridCol w:w="211"/>
        <w:gridCol w:w="421"/>
        <w:gridCol w:w="416"/>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Cash paid for amounts included in the measurement of </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aggregate maturities of the Company’s operating lease liabilities were as follows as of June 30, 2026 (in thousands):</w:t>
      </w:r>
    </w:p>
    <w:tbl>
      <w:tblPr>
        <w:tblW w:w="4994" w:type="dxa"/>
        <w:jc w:val="left"/>
        <w:tblInd w:w="0" w:type="dxa"/>
        <w:tblLayout w:type="fixed"/>
        <w:tblCellMar>
          <w:top w:w="28" w:type="dxa"/>
          <w:left w:w="28" w:type="dxa"/>
          <w:bottom w:w="28" w:type="dxa"/>
          <w:right w:w="28" w:type="dxa"/>
        </w:tblCellMar>
      </w:tblPr>
      <w:tblGrid>
        <w:gridCol w:w="3901"/>
        <w:gridCol w:w="211"/>
        <w:gridCol w:w="571"/>
        <w:gridCol w:w="311"/>
      </w:tblGrid>
      <w:tr>
        <w:trPr/>
        <w:tc>
          <w:tcPr>
            <w:tcW w:w="3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in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left"/>
        <w:rPr>
          <w:rFonts w:ascii="Calibri" w:hAnsi="Calibri"/>
          <w:sz w:val="20"/>
        </w:rPr>
      </w:pPr>
      <w:r>
        <w:rPr>
          <w:rFonts w:ascii="Times New Roman" w:hAnsi="Times New Roman"/>
          <w:b/>
          <w:color w:val="000000"/>
          <w:sz w:val="20"/>
        </w:rPr>
        <w:t>5. Net</w:t>
      </w:r>
      <w:r>
        <w:rPr>
          <w:rFonts w:ascii="Calibri" w:hAnsi="Calibri"/>
          <w:color w:val="000000"/>
          <w:sz w:val="20"/>
        </w:rPr>
        <w:t xml:space="preserve"> </w:t>
      </w:r>
      <w:r>
        <w:rPr>
          <w:rFonts w:ascii="Times New Roman" w:hAnsi="Times New Roman"/>
          <w:b/>
          <w:color w:val="000000"/>
          <w:sz w:val="20"/>
        </w:rPr>
        <w:t>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computes basic loss per share by dividing the net loss attributable to common stockholders by the weighted average number of common shares outstanding for the period, including the weighted average effect of the 2026 PIPE Pre-Funded Warrants, without consideration for common stock equivalents. Diluted net loss per share assumes the conversion, exercise, or issuance of all potential common stock equivalents, unless the effect of inclusion would be anti-dilutive. Shares of Common Stock to be issued upon exercise of all outstanding stock options and restricted stock units were excluded from the diluted net loss per share calculation for the six months ended June 30, 2026 and 2025 because such shares are anti-dilutive.</w:t>
      </w:r>
    </w:p>
    <w:p>
      <w:pPr>
        <w:pStyle w:val="TextBody"/>
        <w:bidi w:val="0"/>
        <w:spacing w:before="120" w:after="120"/>
        <w:jc w:val="left"/>
        <w:rPr>
          <w:rFonts w:ascii="Calibri" w:hAnsi="Calibri"/>
          <w:sz w:val="20"/>
        </w:rPr>
      </w:pPr>
      <w:r>
        <w:rPr>
          <w:rFonts w:ascii="Times New Roman" w:hAnsi="Times New Roman"/>
          <w:color w:val="000000"/>
          <w:sz w:val="20"/>
        </w:rPr>
        <w:t>Anti-dilutive securities outstanding during the period not included in the diluted net loss per share calculation include the following</w:t>
      </w:r>
      <w:r>
        <w:rPr>
          <w:rFonts w:ascii="Times New Roman" w:hAnsi="Times New Roman"/>
          <w:color w:val="231F20"/>
          <w:sz w:val="20"/>
        </w:rPr>
        <w:t>:</w:t>
      </w:r>
      <w:r>
        <w:rPr>
          <w:rFonts w:ascii="Calibri" w:hAnsi="Calibri"/>
          <w:color w:val="231F20"/>
          <w:sz w:val="20"/>
        </w:rPr>
        <w:t xml:space="preserve"> </w:t>
      </w:r>
    </w:p>
    <w:tbl>
      <w:tblPr>
        <w:tblW w:w="5653" w:type="dxa"/>
        <w:jc w:val="left"/>
        <w:tblInd w:w="0" w:type="dxa"/>
        <w:tblLayout w:type="fixed"/>
        <w:tblCellMar>
          <w:top w:w="28" w:type="dxa"/>
          <w:left w:w="28" w:type="dxa"/>
          <w:bottom w:w="28" w:type="dxa"/>
          <w:right w:w="28" w:type="dxa"/>
        </w:tblCellMar>
      </w:tblPr>
      <w:tblGrid>
        <w:gridCol w:w="3016"/>
        <w:gridCol w:w="146"/>
        <w:gridCol w:w="931"/>
        <w:gridCol w:w="146"/>
        <w:gridCol w:w="146"/>
        <w:gridCol w:w="146"/>
        <w:gridCol w:w="93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3,054,036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4,108,531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3,114,019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Fair Value Measurements</w:t>
      </w:r>
    </w:p>
    <w:p>
      <w:pPr>
        <w:pStyle w:val="TextBody"/>
        <w:bidi w:val="0"/>
        <w:spacing w:before="120" w:after="283"/>
        <w:jc w:val="left"/>
        <w:rPr>
          <w:rFonts w:ascii="Calibri" w:hAnsi="Calibri"/>
          <w:sz w:val="20"/>
        </w:rPr>
      </w:pPr>
      <w:r>
        <w:rPr>
          <w:rFonts w:ascii="Times New Roman" w:hAnsi="Times New Roman"/>
          <w:color w:val="000000"/>
          <w:sz w:val="20"/>
        </w:rPr>
        <w:t xml:space="preserve">ASC Topic 820, </w:t>
      </w:r>
      <w:r>
        <w:rPr>
          <w:rFonts w:ascii="Times New Roman" w:hAnsi="Times New Roman"/>
          <w:i/>
          <w:color w:val="000000"/>
          <w:sz w:val="20"/>
        </w:rPr>
        <w:t>Fair Value Measurement</w:t>
      </w:r>
      <w:r>
        <w:rPr>
          <w:rFonts w:ascii="Times New Roman" w:hAnsi="Times New Roman"/>
          <w:color w:val="000000"/>
          <w:sz w:val="20"/>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Topic 820 identifies fair value as the exit price, representing the amount that would be received to sell an asset or paid to transfer a liability in an orderly transaction between market participants. As a basis for considering market participant assumptions in fair value measurements, ASC Topic 820 establishes a three-tier fair value hierarchy that distinguishes between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such as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prices in active markets, which are observable for the asset or liability, either directly or indirectly.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in which there is little or no market data, which requires the Company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The Company’s financial assets are subject to fair value measurements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categorizes its money market funds as Level 1 and U.S. treasury securities as Level 2. The fair value of the Company’s investments in certain money market funds is their face value and such instruments are classified as Level 1 and are included in cash and cash equivalents on the consolidated balance sheets. The fair value of the Company’s investments in certain U.S. treasury securities are classified as Level 2 and are included in marketable securities on the consolidated balance sheets.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The following tables summarize the Company’s financial assets measured at fair value on a recurring basis by level within the fair value hierarchy</w:t>
      </w:r>
      <w:r>
        <w:rPr>
          <w:rFonts w:ascii="Calibri" w:hAnsi="Calibri"/>
          <w:color w:val="000000"/>
          <w:sz w:val="20"/>
        </w:rPr>
        <w:t xml:space="preserve"> </w:t>
      </w:r>
      <w:r>
        <w:rPr>
          <w:rFonts w:ascii="Times New Roman" w:hAnsi="Times New Roman"/>
          <w:color w:val="000000"/>
          <w:sz w:val="20"/>
        </w:rPr>
        <w:t>as of June 30, 2026:</w:t>
      </w:r>
    </w:p>
    <w:p>
      <w:pPr>
        <w:pStyle w:val="TextBody"/>
        <w:bidi w:val="0"/>
        <w:jc w:val="left"/>
        <w:rPr/>
      </w:pPr>
      <w:r>
        <w:rPr/>
        <w:t> </w:t>
      </w:r>
    </w:p>
    <w:tbl>
      <w:tblPr>
        <w:tblW w:w="9733" w:type="dxa"/>
        <w:jc w:val="left"/>
        <w:tblInd w:w="0" w:type="dxa"/>
        <w:tblLayout w:type="fixed"/>
        <w:tblCellMar>
          <w:top w:w="28" w:type="dxa"/>
          <w:left w:w="28" w:type="dxa"/>
          <w:bottom w:w="28" w:type="dxa"/>
          <w:right w:w="28" w:type="dxa"/>
        </w:tblCellMar>
      </w:tblPr>
      <w:tblGrid>
        <w:gridCol w:w="2971"/>
        <w:gridCol w:w="916"/>
        <w:gridCol w:w="146"/>
        <w:gridCol w:w="202"/>
        <w:gridCol w:w="714"/>
        <w:gridCol w:w="146"/>
        <w:gridCol w:w="146"/>
        <w:gridCol w:w="336"/>
        <w:gridCol w:w="595"/>
        <w:gridCol w:w="146"/>
        <w:gridCol w:w="146"/>
        <w:gridCol w:w="336"/>
        <w:gridCol w:w="595"/>
        <w:gridCol w:w="166"/>
        <w:gridCol w:w="146"/>
        <w:gridCol w:w="228"/>
        <w:gridCol w:w="807"/>
        <w:gridCol w:w="991"/>
      </w:tblGrid>
      <w:tr>
        <w:trPr/>
        <w:tc>
          <w:tcPr>
            <w:tcW w:w="297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Market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Money market funds</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164,218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U.S. treasury securities</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available-for-sale:</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U.S. treasury securities</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175,111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175,098</w:t>
            </w:r>
          </w:p>
        </w:tc>
        <w:tc>
          <w:tcPr>
            <w:tcW w:w="9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i" w:hAnsi="Calibri"/>
          <w:sz w:val="20"/>
        </w:rPr>
      </w:pPr>
      <w:r>
        <w:rPr>
          <w:rFonts w:ascii="Times New Roman" w:hAnsi="Times New Roman"/>
          <w:color w:val="000000"/>
          <w:sz w:val="20"/>
        </w:rPr>
        <w:t>There were no</w:t>
      </w:r>
      <w:r>
        <w:rPr>
          <w:rFonts w:ascii="Calibri" w:hAnsi="Calibri"/>
          <w:color w:val="000000"/>
          <w:sz w:val="20"/>
        </w:rPr>
        <w:t xml:space="preserve"> </w:t>
      </w:r>
      <w:r>
        <w:rPr>
          <w:rFonts w:ascii="Times New Roman" w:hAnsi="Times New Roman"/>
          <w:color w:val="000000"/>
          <w:sz w:val="20"/>
        </w:rPr>
        <w:t>marketable securities as of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contractual maturity of the marketable securities as of June 30, 2026 was:</w:t>
      </w:r>
    </w:p>
    <w:p>
      <w:pPr>
        <w:pStyle w:val="TextBody"/>
        <w:bidi w:val="0"/>
        <w:jc w:val="left"/>
        <w:rPr/>
      </w:pPr>
      <w:r>
        <w:rPr/>
        <w:t> </w:t>
      </w:r>
    </w:p>
    <w:tbl>
      <w:tblPr>
        <w:tblW w:w="5022" w:type="dxa"/>
        <w:jc w:val="left"/>
        <w:tblInd w:w="0" w:type="dxa"/>
        <w:tblLayout w:type="fixed"/>
        <w:tblCellMar>
          <w:top w:w="28" w:type="dxa"/>
          <w:left w:w="28" w:type="dxa"/>
          <w:bottom w:w="28" w:type="dxa"/>
          <w:right w:w="28" w:type="dxa"/>
        </w:tblCellMar>
      </w:tblPr>
      <w:tblGrid>
        <w:gridCol w:w="1951"/>
        <w:gridCol w:w="271"/>
        <w:gridCol w:w="735"/>
        <w:gridCol w:w="146"/>
        <w:gridCol w:w="146"/>
        <w:gridCol w:w="211"/>
        <w:gridCol w:w="571"/>
        <w:gridCol w:w="991"/>
      </w:tblGrid>
      <w:tr>
        <w:trPr/>
        <w:tc>
          <w:tcPr>
            <w:tcW w:w="19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i" w:hAnsi="Calibri"/>
          <w:sz w:val="20"/>
        </w:rPr>
      </w:pPr>
      <w:r>
        <w:rPr>
          <w:rFonts w:ascii="Times New Roman" w:hAnsi="Times New Roman"/>
          <w:color w:val="000000"/>
          <w:sz w:val="20"/>
        </w:rPr>
        <w:t>The Company’s money market funds are classified as Level 1 because they are valued using quoted market prices. Investments in U.S. government treasury securities have been classified as Level 2 as they are valued using quoted prices in less active markets or other directly or indirectly observable inputs. Fair values of U.S. government treasury securities were derived based on input of market prices from multiple sources at each reporting period. There were no transfers of financial assets between Level 1, Level 2, or Level 3, during the periods presented.</w:t>
      </w:r>
      <w:r>
        <w:rPr>
          <w:rFonts w:ascii="Calibri" w:hAnsi="Calibri"/>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periodically reviews its portfolio of debt securities to determine if any investment is impaired due to credit loss or other potential valuation concerns. For debt securities where the fair value of the investment is less than the amortized cost basis, the Company has assessed at the individual security level for various quantitative factors including, but not limited to, the nature of the investments, changes in credit ratings, interest rate fluctuations, industry analyst reports, and the severity of impairment. Unrealized losses on marketable securities at June 30, 2026 were primarily due to changes in interest rates, including market credit spreads, and not due to increased credit risks associated with specific securities.</w:t>
      </w:r>
    </w:p>
    <w:p>
      <w:pPr>
        <w:pStyle w:val="TextBody"/>
        <w:bidi w:val="0"/>
        <w:spacing w:before="120" w:after="283"/>
        <w:jc w:val="left"/>
        <w:rPr>
          <w:rFonts w:ascii="Calibri" w:hAnsi="Calibri"/>
          <w:sz w:val="20"/>
        </w:rPr>
      </w:pPr>
      <w:r>
        <w:rPr>
          <w:rFonts w:ascii="Times New Roman" w:hAnsi="Times New Roman"/>
          <w:color w:val="000000"/>
          <w:sz w:val="20"/>
        </w:rPr>
        <w:t>No</w:t>
      </w:r>
      <w:r>
        <w:rPr>
          <w:rFonts w:ascii="Calibri" w:hAnsi="Calibri"/>
          <w:color w:val="000000"/>
          <w:sz w:val="20"/>
        </w:rPr>
        <w:t xml:space="preserve"> </w:t>
      </w:r>
      <w:r>
        <w:rPr>
          <w:rFonts w:ascii="Times New Roman" w:hAnsi="Times New Roman"/>
          <w:color w:val="000000"/>
          <w:sz w:val="20"/>
        </w:rPr>
        <w:t>assets or liabilities were transferred into or out of their classifications during the three months ended June 30, 2026 and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Property and Equipment, Net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647" w:type="dxa"/>
        <w:jc w:val="left"/>
        <w:tblInd w:w="0" w:type="dxa"/>
        <w:tblLayout w:type="fixed"/>
        <w:tblCellMar>
          <w:top w:w="28" w:type="dxa"/>
          <w:left w:w="28" w:type="dxa"/>
          <w:bottom w:w="28" w:type="dxa"/>
          <w:right w:w="28" w:type="dxa"/>
        </w:tblCellMar>
      </w:tblPr>
      <w:tblGrid>
        <w:gridCol w:w="4211"/>
        <w:gridCol w:w="146"/>
        <w:gridCol w:w="211"/>
        <w:gridCol w:w="631"/>
        <w:gridCol w:w="166"/>
        <w:gridCol w:w="146"/>
        <w:gridCol w:w="431"/>
        <w:gridCol w:w="1294"/>
        <w:gridCol w:w="4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alibri" w:hAnsi="Calibri"/>
          <w:sz w:val="20"/>
        </w:rPr>
      </w:pPr>
      <w:r>
        <w:rPr>
          <w:rFonts w:ascii="Times New Roman" w:hAnsi="Times New Roman"/>
          <w:color w:val="000000"/>
          <w:sz w:val="20"/>
        </w:rPr>
        <w:t>Depreciation and amortization expense for the three and six months ended June 30, 2026</w:t>
      </w:r>
      <w:r>
        <w:rPr>
          <w:rFonts w:ascii="Calibri" w:hAnsi="Calibri"/>
          <w:color w:val="000000"/>
          <w:sz w:val="20"/>
        </w:rPr>
        <w:t xml:space="preserve"> </w:t>
      </w:r>
      <w:r>
        <w:rPr>
          <w:rFonts w:ascii="Times New Roman" w:hAnsi="Times New Roman"/>
          <w:color w:val="000000"/>
          <w:sz w:val="20"/>
        </w:rPr>
        <w:t>was $87</w:t>
      </w:r>
      <w:r>
        <w:rPr>
          <w:rFonts w:ascii="Calibri" w:hAnsi="Calibri"/>
          <w:color w:val="000000"/>
          <w:sz w:val="20"/>
        </w:rPr>
        <w:t xml:space="preserve"> </w:t>
      </w:r>
      <w:r>
        <w:rPr>
          <w:rFonts w:ascii="Times New Roman" w:hAnsi="Times New Roman"/>
          <w:color w:val="000000"/>
          <w:sz w:val="20"/>
        </w:rPr>
        <w:t>and $191, respectively. Depreciation and amortization expense for the three months and six months ended June 30, 2025 was $117</w:t>
      </w:r>
      <w:r>
        <w:rPr>
          <w:rFonts w:ascii="Calibri" w:hAnsi="Calibri"/>
          <w:color w:val="000000"/>
          <w:sz w:val="20"/>
        </w:rPr>
        <w:t xml:space="preserve"> </w:t>
      </w:r>
      <w:r>
        <w:rPr>
          <w:rFonts w:ascii="Times New Roman" w:hAnsi="Times New Roman"/>
          <w:color w:val="000000"/>
          <w:sz w:val="20"/>
        </w:rPr>
        <w:t>and $235,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Accounts Payable and Accrued Expenses and Other Current Liabilities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425" w:type="dxa"/>
        <w:jc w:val="left"/>
        <w:tblInd w:w="0" w:type="dxa"/>
        <w:tblLayout w:type="fixed"/>
        <w:tblCellMar>
          <w:top w:w="28" w:type="dxa"/>
          <w:left w:w="28" w:type="dxa"/>
          <w:bottom w:w="28" w:type="dxa"/>
          <w:right w:w="28" w:type="dxa"/>
        </w:tblCellMar>
      </w:tblPr>
      <w:tblGrid>
        <w:gridCol w:w="4261"/>
        <w:gridCol w:w="146"/>
        <w:gridCol w:w="218"/>
        <w:gridCol w:w="592"/>
        <w:gridCol w:w="146"/>
        <w:gridCol w:w="146"/>
        <w:gridCol w:w="465"/>
        <w:gridCol w:w="1260"/>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ESPP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outsourced non-clinical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Securities Purchase Agreement</w:t>
      </w:r>
    </w:p>
    <w:p>
      <w:pPr>
        <w:pStyle w:val="TextBody"/>
        <w:bidi w:val="0"/>
        <w:spacing w:before="120" w:after="283"/>
        <w:jc w:val="left"/>
        <w:rPr>
          <w:rFonts w:ascii="Calibri" w:hAnsi="Calibri"/>
          <w:sz w:val="20"/>
        </w:rPr>
      </w:pPr>
      <w:r>
        <w:rPr>
          <w:rFonts w:ascii="Times New Roman" w:hAnsi="Times New Roman"/>
          <w:color w:val="000000"/>
          <w:sz w:val="20"/>
        </w:rPr>
        <w:t>On March 27, 2026, the Company entered into a securities purchase agreement (the “2026 PIPE Purchase Agreement”) with certain institutional accredited investors (the “2026 PIPE Investors”), pursuant to which the Company agreed to issue and sell to the 2026 PIPE Investors in a private placement (i) 26,713,638</w:t>
      </w:r>
      <w:r>
        <w:rPr>
          <w:rFonts w:ascii="Calibri" w:hAnsi="Calibri"/>
          <w:color w:val="000000"/>
          <w:sz w:val="20"/>
        </w:rPr>
        <w:t xml:space="preserve"> </w:t>
      </w:r>
      <w:r>
        <w:rPr>
          <w:rFonts w:ascii="Times New Roman" w:hAnsi="Times New Roman"/>
          <w:color w:val="000000"/>
          <w:sz w:val="20"/>
        </w:rPr>
        <w:t>shares (the “2026 PIPE Shares”) of Common Stock at a purchase price of $4.15</w:t>
      </w:r>
      <w:r>
        <w:rPr>
          <w:rFonts w:ascii="Calibri" w:hAnsi="Calibri"/>
          <w:color w:val="000000"/>
          <w:sz w:val="20"/>
        </w:rPr>
        <w:t xml:space="preserve"> </w:t>
      </w:r>
      <w:r>
        <w:rPr>
          <w:rFonts w:ascii="Times New Roman" w:hAnsi="Times New Roman"/>
          <w:color w:val="000000"/>
          <w:sz w:val="20"/>
        </w:rPr>
        <w:t>per 2026 PIPE Share, and (ii) pre-funded warrants to purchase 9,430,957</w:t>
      </w:r>
      <w:r>
        <w:rPr>
          <w:rFonts w:ascii="Calibri" w:hAnsi="Calibri"/>
          <w:color w:val="000000"/>
          <w:sz w:val="20"/>
        </w:rPr>
        <w:t xml:space="preserve"> </w:t>
      </w:r>
      <w:r>
        <w:rPr>
          <w:rFonts w:ascii="Times New Roman" w:hAnsi="Times New Roman"/>
          <w:color w:val="000000"/>
          <w:sz w:val="20"/>
        </w:rPr>
        <w:t>shares of Common Stock (the “2026 PIPE Warrant Shares”), at a purchase price of $4.1499</w:t>
      </w:r>
      <w:r>
        <w:rPr>
          <w:rFonts w:ascii="Calibri" w:hAnsi="Calibri"/>
          <w:color w:val="000000"/>
          <w:sz w:val="20"/>
        </w:rPr>
        <w:t xml:space="preserve"> </w:t>
      </w:r>
      <w:r>
        <w:rPr>
          <w:rFonts w:ascii="Times New Roman" w:hAnsi="Times New Roman"/>
          <w:color w:val="000000"/>
          <w:sz w:val="20"/>
        </w:rPr>
        <w:t>per underlying 2026 PIPE Warrant Share (the “2026 Private Placement”). Also, pursuant to the 2026 PIPE Purchase Agreement, the Company’s executive officers and directors entered into letter agreements pursuant to which they agreed not to sell or transfer any Common Stock or any securities convertible into or exercisable or exchangeable for Common Stock, until the later of 180 days after the closing date of the 2026 Private Placement and the effective date of registering the 2026 PIPE shares on a Registration Statement, subject to certain customary exceptions.</w:t>
      </w:r>
    </w:p>
    <w:p>
      <w:pPr>
        <w:pStyle w:val="TextBody"/>
        <w:bidi w:val="0"/>
        <w:spacing w:before="120" w:after="283"/>
        <w:jc w:val="left"/>
        <w:rPr>
          <w:rFonts w:ascii="Calibri" w:hAnsi="Calibri"/>
          <w:sz w:val="20"/>
        </w:rPr>
      </w:pPr>
      <w:r>
        <w:rPr>
          <w:rFonts w:ascii="Times New Roman" w:hAnsi="Times New Roman"/>
          <w:color w:val="000000"/>
          <w:sz w:val="20"/>
        </w:rPr>
        <w:t>The 2026 Private Placement closed on March 31, 2026. The aggregate gross proceeds from the 2026 Private Placement were approximately $150.0</w:t>
      </w:r>
      <w:r>
        <w:rPr>
          <w:rFonts w:ascii="Calibri" w:hAnsi="Calibri"/>
          <w:color w:val="000000"/>
          <w:sz w:val="20"/>
        </w:rPr>
        <w:t xml:space="preserve"> </w:t>
      </w:r>
      <w:r>
        <w:rPr>
          <w:rFonts w:ascii="Times New Roman" w:hAnsi="Times New Roman"/>
          <w:color w:val="000000"/>
          <w:sz w:val="20"/>
        </w:rPr>
        <w:t>million, before deducting placement agent fees and offering expenses of approximately $9.6</w:t>
      </w:r>
      <w:r>
        <w:rPr>
          <w:rFonts w:ascii="Calibri" w:hAnsi="Calibri"/>
          <w:color w:val="000000"/>
          <w:sz w:val="20"/>
        </w:rPr>
        <w:t xml:space="preserve"> </w:t>
      </w:r>
      <w:r>
        <w:rPr>
          <w:rFonts w:ascii="Times New Roman" w:hAnsi="Times New Roman"/>
          <w:color w:val="000000"/>
          <w:sz w:val="20"/>
        </w:rPr>
        <w:t>million.</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The 2026 PIPE Pre-Funded Warrants will be exercisable immediately at an exercise price of $0.0001</w:t>
      </w:r>
      <w:r>
        <w:rPr>
          <w:rFonts w:ascii="Calibri" w:hAnsi="Calibri"/>
          <w:color w:val="000000"/>
          <w:sz w:val="20"/>
        </w:rPr>
        <w:t xml:space="preserve"> </w:t>
      </w:r>
      <w:r>
        <w:rPr>
          <w:rFonts w:ascii="Times New Roman" w:hAnsi="Times New Roman"/>
          <w:color w:val="000000"/>
          <w:sz w:val="20"/>
        </w:rPr>
        <w:t>per 2026 PIPE Warrant Share and will not expire until exercised in full. The holders of 2026 PIPE Pre-Funded Warrants may not exercise a 2026 PIPE Pre-Funded Warrant if the holder, together with its attribution parties, would beneficially own more than a specified percentage of the number of shares of Common Stock outstanding immediately after giving effect to such exercise. The holders of 2026 PIPE Pre-Funded Warrants may increase or decrease such percentages not in excess of 19.99% by providing at least 61 days’ prior notice to the Company. The 2026 PIPE Pre-Funded Warrants are classified as equity in the condensed consolidated financial statements.</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 of Class A Common Stock Under 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6, 2025, the Company entered into the ATM Sales Agreement with Leerink Partners to sell the ATM Placement Shares, from time to time, through an “at the market offering” program under which Leerink Partners is serving as sales agent.</w:t>
      </w:r>
    </w:p>
    <w:p>
      <w:pPr>
        <w:pStyle w:val="TextBody"/>
        <w:bidi w:val="0"/>
        <w:spacing w:before="120" w:after="283"/>
        <w:jc w:val="left"/>
        <w:rPr>
          <w:rFonts w:ascii="Calibri" w:hAnsi="Calibri"/>
          <w:sz w:val="20"/>
        </w:rPr>
      </w:pPr>
      <w:r>
        <w:rPr>
          <w:rFonts w:ascii="Times New Roman" w:hAnsi="Times New Roman"/>
          <w:color w:val="000000"/>
          <w:sz w:val="20"/>
        </w:rPr>
        <w:t>On November 6, 2025, the Company filed the Registration Statement with the SEC, which became effective on November 25, 2025. The Registration Statement registered an aggregate of up to $200</w:t>
      </w:r>
      <w:r>
        <w:rPr>
          <w:rFonts w:ascii="Calibri" w:hAnsi="Calibri"/>
          <w:color w:val="000000"/>
          <w:sz w:val="20"/>
        </w:rPr>
        <w:t xml:space="preserve"> </w:t>
      </w:r>
      <w:r>
        <w:rPr>
          <w:rFonts w:ascii="Times New Roman" w:hAnsi="Times New Roman"/>
          <w:color w:val="000000"/>
          <w:sz w:val="20"/>
        </w:rPr>
        <w:t>million of securities that may be issued and sold by the Company from time to time, including initially up to an aggregate offering price of $16.0</w:t>
      </w:r>
      <w:r>
        <w:rPr>
          <w:rFonts w:ascii="Calibri" w:hAnsi="Calibri"/>
          <w:color w:val="000000"/>
          <w:sz w:val="20"/>
        </w:rPr>
        <w:t xml:space="preserve"> </w:t>
      </w:r>
      <w:r>
        <w:rPr>
          <w:rFonts w:ascii="Times New Roman" w:hAnsi="Times New Roman"/>
          <w:color w:val="000000"/>
          <w:sz w:val="20"/>
        </w:rPr>
        <w:t>million of Common Stock (which is included in the $200</w:t>
      </w:r>
      <w:r>
        <w:rPr>
          <w:rFonts w:ascii="Calibri" w:hAnsi="Calibri"/>
          <w:color w:val="000000"/>
          <w:sz w:val="20"/>
        </w:rPr>
        <w:t xml:space="preserve"> </w:t>
      </w:r>
      <w:r>
        <w:rPr>
          <w:rFonts w:ascii="Times New Roman" w:hAnsi="Times New Roman"/>
          <w:color w:val="000000"/>
          <w:sz w:val="20"/>
        </w:rPr>
        <w:t>million aggregate offering price set forth in the base prospectus) that may be issued and sold pursuant to the ATM Sales Agreement.</w:t>
      </w:r>
    </w:p>
    <w:p>
      <w:pPr>
        <w:pStyle w:val="TextBody"/>
        <w:bidi w:val="0"/>
        <w:spacing w:before="120" w:after="283"/>
        <w:jc w:val="left"/>
        <w:rPr>
          <w:rFonts w:ascii="Calibri" w:hAnsi="Calibri"/>
          <w:sz w:val="20"/>
        </w:rPr>
      </w:pPr>
      <w:r>
        <w:rPr>
          <w:rFonts w:ascii="Times New Roman" w:hAnsi="Times New Roman"/>
          <w:color w:val="000000"/>
          <w:sz w:val="20"/>
        </w:rPr>
        <w:t>As of June 30, 2026, no</w:t>
      </w:r>
      <w:r>
        <w:rPr>
          <w:rFonts w:ascii="Calibri" w:hAnsi="Calibri"/>
          <w:color w:val="000000"/>
          <w:sz w:val="20"/>
        </w:rPr>
        <w:t xml:space="preserve"> </w:t>
      </w:r>
      <w:r>
        <w:rPr>
          <w:rFonts w:ascii="Times New Roman" w:hAnsi="Times New Roman"/>
          <w:color w:val="000000"/>
          <w:sz w:val="20"/>
        </w:rPr>
        <w:t>shares of Common Stock had been sold under the ATM Sales Agreement and the Company will not be issuing or selling any Common Stock for the 180 day-period after March 31, 2026, due to the lock-up restrictions contained in the 2026 PIPE Purchase Agreement, subject to certain exceptions.</w:t>
      </w:r>
    </w:p>
    <w:p>
      <w:pPr>
        <w:pStyle w:val="TextBody"/>
        <w:bidi w:val="0"/>
        <w:spacing w:before="120" w:after="283"/>
        <w:jc w:val="left"/>
        <w:rPr/>
      </w:pPr>
      <w:r>
        <w:rPr/>
        <w:t> </w:t>
      </w:r>
    </w:p>
    <w:p>
      <w:pPr>
        <w:pStyle w:val="TextBody"/>
        <w:bidi w:val="0"/>
        <w:spacing w:before="120" w:after="283"/>
        <w:jc w:val="left"/>
        <w:rPr>
          <w:rFonts w:ascii="Calibri" w:hAnsi="Calibri"/>
          <w:sz w:val="20"/>
        </w:rPr>
      </w:pPr>
      <w:r>
        <w:rPr>
          <w:rFonts w:ascii="Times New Roman" w:hAnsi="Times New Roman"/>
          <w:b/>
          <w:color w:val="000000"/>
          <w:sz w:val="20"/>
        </w:rPr>
        <w:t>10. Share-Based Compensation</w:t>
      </w:r>
      <w:r>
        <w:rPr>
          <w:rFonts w:ascii="Calibri" w:hAnsi="Calibri"/>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amended and restated its 2024 Equity Incentive Plan (the “A&amp;R 2024 Plan”), effective as of June 3, 2026 upon approval by the stockholders of the Company.</w:t>
      </w:r>
    </w:p>
    <w:p>
      <w:pPr>
        <w:pStyle w:val="TextBody"/>
        <w:bidi w:val="0"/>
        <w:jc w:val="left"/>
        <w:rPr/>
      </w:pPr>
      <w:r>
        <w:rPr/>
        <w:t> </w:t>
      </w:r>
    </w:p>
    <w:p>
      <w:pPr>
        <w:pStyle w:val="TextBody"/>
        <w:bidi w:val="0"/>
        <w:jc w:val="left"/>
        <w:rPr>
          <w:rFonts w:ascii="Calibri" w:hAnsi="Calibri"/>
          <w:sz w:val="20"/>
        </w:rPr>
      </w:pPr>
      <w:r>
        <w:rPr>
          <w:rFonts w:ascii="Times New Roman" w:hAnsi="Times New Roman"/>
          <w:color w:val="000000"/>
          <w:sz w:val="20"/>
        </w:rPr>
        <w:t>The amendments to the Company’s 2024 Equity Incentive Plan included (1) a one-time increase to the number of shares of common stock reserved for issuance under the A&amp;R 2024 Plan of 3,231,638</w:t>
      </w:r>
      <w:r>
        <w:rPr>
          <w:rFonts w:ascii="Calibri" w:hAnsi="Calibri"/>
          <w:color w:val="000000"/>
          <w:sz w:val="20"/>
        </w:rPr>
        <w:t xml:space="preserve"> </w:t>
      </w:r>
      <w:r>
        <w:rPr>
          <w:rFonts w:ascii="Times New Roman" w:hAnsi="Times New Roman"/>
          <w:color w:val="000000"/>
          <w:sz w:val="20"/>
        </w:rPr>
        <w:t>shares, (2) an amendment to the annual “evergreen” provision to remove the annual limit of 2,407,100</w:t>
      </w:r>
      <w:r>
        <w:rPr>
          <w:rFonts w:ascii="Calibri" w:hAnsi="Calibri"/>
          <w:color w:val="000000"/>
          <w:sz w:val="20"/>
        </w:rPr>
        <w:t xml:space="preserve"> </w:t>
      </w:r>
      <w:r>
        <w:rPr>
          <w:rFonts w:ascii="Times New Roman" w:hAnsi="Times New Roman"/>
          <w:color w:val="000000"/>
          <w:sz w:val="20"/>
        </w:rPr>
        <w:t>shares, while maintaining the annual increase at 5% of the Company’s outstanding shares, and (3) a limit on the number of shares that can be issued as incentive stock options under the A&amp;R 2024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summary of the Company’s stock option activity and related information is as follows:</w:t>
      </w:r>
    </w:p>
    <w:tbl>
      <w:tblPr>
        <w:tblW w:w="10205" w:type="dxa"/>
        <w:jc w:val="left"/>
        <w:tblInd w:w="0" w:type="dxa"/>
        <w:tblLayout w:type="fixed"/>
        <w:tblCellMar>
          <w:top w:w="28" w:type="dxa"/>
          <w:left w:w="28" w:type="dxa"/>
          <w:bottom w:w="28" w:type="dxa"/>
          <w:right w:w="28" w:type="dxa"/>
        </w:tblCellMar>
      </w:tblPr>
      <w:tblGrid>
        <w:gridCol w:w="2292"/>
        <w:gridCol w:w="146"/>
        <w:gridCol w:w="146"/>
        <w:gridCol w:w="931"/>
        <w:gridCol w:w="166"/>
        <w:gridCol w:w="146"/>
        <w:gridCol w:w="349"/>
        <w:gridCol w:w="945"/>
        <w:gridCol w:w="146"/>
        <w:gridCol w:w="146"/>
        <w:gridCol w:w="635"/>
        <w:gridCol w:w="2035"/>
        <w:gridCol w:w="146"/>
        <w:gridCol w:w="146"/>
        <w:gridCol w:w="545"/>
        <w:gridCol w:w="1091"/>
        <w:gridCol w:w="194"/>
      </w:tblGrid>
      <w:tr>
        <w:trPr/>
        <w:tc>
          <w:tcPr>
            <w:tcW w:w="2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 xml:space="preserve"> Exercise </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Term</w:t>
              <w:br/>
              <w:t>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b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outstanding options as of June 30, 2026 are expected to vest, subject to forfeitures.</w:t>
      </w:r>
    </w:p>
    <w:p>
      <w:pPr>
        <w:pStyle w:val="TextBody"/>
        <w:bidi w:val="0"/>
        <w:spacing w:before="120" w:after="283"/>
        <w:jc w:val="left"/>
        <w:rPr>
          <w:rFonts w:ascii="Calibri" w:hAnsi="Calibri"/>
          <w:sz w:val="20"/>
        </w:rPr>
      </w:pPr>
      <w:r>
        <w:rPr>
          <w:rFonts w:ascii="Times New Roman" w:hAnsi="Times New Roman"/>
          <w:color w:val="000000"/>
          <w:sz w:val="20"/>
        </w:rPr>
        <w:t>The aggregate intrinsic value is calculated as the difference between the exercise price and the estimated fair value of the Company’s Common Stock as of June 30, 2026.</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RSUs vest based on a service requirement and a liquidity event, which was satisfied upon completion of the Merger, plus service requirement. The following table summarizes RSU activities during the six months ended June 30, 2026:</w:t>
      </w:r>
    </w:p>
    <w:tbl>
      <w:tblPr>
        <w:tblW w:w="6185" w:type="dxa"/>
        <w:jc w:val="left"/>
        <w:tblInd w:w="0" w:type="dxa"/>
        <w:tblLayout w:type="fixed"/>
        <w:tblCellMar>
          <w:top w:w="28" w:type="dxa"/>
          <w:left w:w="28" w:type="dxa"/>
          <w:bottom w:w="28" w:type="dxa"/>
          <w:right w:w="28" w:type="dxa"/>
        </w:tblCellMar>
      </w:tblPr>
      <w:tblGrid>
        <w:gridCol w:w="3601"/>
        <w:gridCol w:w="146"/>
        <w:gridCol w:w="146"/>
        <w:gridCol w:w="739"/>
        <w:gridCol w:w="166"/>
        <w:gridCol w:w="146"/>
        <w:gridCol w:w="283"/>
        <w:gridCol w:w="767"/>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Calibri" w:hAnsi="Calibri"/>
          <w:sz w:val="20"/>
        </w:rPr>
      </w:pPr>
      <w:r>
        <w:rPr>
          <w:rFonts w:ascii="Times New Roman" w:hAnsi="Times New Roman"/>
          <w:b/>
          <w:i/>
          <w:color w:val="000000"/>
          <w:sz w:val="20"/>
        </w:rPr>
        <w:t>2024 Employee Stock Purchase Plan</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In October 2024, the Board adopted the 2024 Employee Stock Purchase Plan (the “2024 ESPP”), which became effective immediately upon completion of the Merger. The Company recorded approximately $49</w:t>
      </w:r>
      <w:r>
        <w:rPr>
          <w:rFonts w:ascii="Calibri" w:hAnsi="Calibri"/>
          <w:color w:val="000000"/>
          <w:sz w:val="20"/>
        </w:rPr>
        <w:t xml:space="preserve"> </w:t>
      </w:r>
      <w:r>
        <w:rPr>
          <w:rFonts w:ascii="Times New Roman" w:hAnsi="Times New Roman"/>
          <w:color w:val="000000"/>
          <w:sz w:val="20"/>
        </w:rPr>
        <w:t>and $88</w:t>
      </w:r>
      <w:r>
        <w:rPr>
          <w:rFonts w:ascii="Calibri" w:hAnsi="Calibri"/>
          <w:color w:val="000000"/>
          <w:sz w:val="20"/>
        </w:rPr>
        <w:t xml:space="preserve"> </w:t>
      </w:r>
      <w:r>
        <w:rPr>
          <w:rFonts w:ascii="Times New Roman" w:hAnsi="Times New Roman"/>
          <w:color w:val="000000"/>
          <w:sz w:val="20"/>
        </w:rPr>
        <w:t>thousand of share-based compensation expense during the three and six months ended June 30, 2026, respectively, related to the 2024 ESPP. The Company recorded approximately $55</w:t>
      </w:r>
      <w:r>
        <w:rPr>
          <w:rFonts w:ascii="Calibri" w:hAnsi="Calibri"/>
          <w:color w:val="000000"/>
          <w:sz w:val="20"/>
        </w:rPr>
        <w:t xml:space="preserve"> </w:t>
      </w:r>
      <w:r>
        <w:rPr>
          <w:rFonts w:ascii="Times New Roman" w:hAnsi="Times New Roman"/>
          <w:color w:val="000000"/>
          <w:sz w:val="20"/>
        </w:rPr>
        <w:t>thousand of share-based compensation expense during the three and six months ended June 30, 2025, related to the 2024 ESPP, which is reflected in the Share-Based Compensation Expense table below.</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shows the allocation of share-based compensation expense related to the Company’s employee and non-employee share-based awards (in thousands):</w:t>
      </w:r>
    </w:p>
    <w:tbl>
      <w:tblPr>
        <w:tblW w:w="6506" w:type="dxa"/>
        <w:jc w:val="left"/>
        <w:tblInd w:w="0" w:type="dxa"/>
        <w:tblLayout w:type="fixed"/>
        <w:tblCellMar>
          <w:top w:w="28" w:type="dxa"/>
          <w:left w:w="28" w:type="dxa"/>
          <w:bottom w:w="28" w:type="dxa"/>
          <w:right w:w="28" w:type="dxa"/>
        </w:tblCellMar>
      </w:tblPr>
      <w:tblGrid>
        <w:gridCol w:w="2311"/>
        <w:gridCol w:w="211"/>
        <w:gridCol w:w="571"/>
        <w:gridCol w:w="146"/>
        <w:gridCol w:w="146"/>
        <w:gridCol w:w="211"/>
        <w:gridCol w:w="571"/>
        <w:gridCol w:w="146"/>
        <w:gridCol w:w="146"/>
        <w:gridCol w:w="211"/>
        <w:gridCol w:w="571"/>
        <w:gridCol w:w="146"/>
        <w:gridCol w:w="146"/>
        <w:gridCol w:w="211"/>
        <w:gridCol w:w="57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Calibri" w:hAnsi="Calibri"/>
          <w:sz w:val="20"/>
        </w:rPr>
      </w:pPr>
      <w:r>
        <w:rPr>
          <w:rFonts w:ascii="Times New Roman" w:hAnsi="Times New Roman"/>
          <w:color w:val="000000"/>
          <w:sz w:val="20"/>
        </w:rPr>
        <w:t>In accordance with GAAP, a valuation allowance should be provided if it is more likely than not that some or all of the Company’s deferred tax assets will not be realized. The Company’s ability to realize the benefit of its deferred tax assets will depend on the generation of future taxable income. Due to the uncertainty of future profitable operations and taxable income, the Company has recorded a full valuation allowance against its net deferred tax assets. The Company believes its tax filing positions and deductions related to tax periods subject to examination will be sustained upon audit and, therefore, has no reserve for uncertain tax positions.</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60" w:after="283"/>
        <w:jc w:val="left"/>
        <w:rPr>
          <w:rFonts w:ascii="Calibri" w:hAnsi="Calibri"/>
          <w:sz w:val="20"/>
        </w:rPr>
      </w:pPr>
      <w:r>
        <w:rPr>
          <w:rFonts w:ascii="Times New Roman" w:hAnsi="Times New Roman"/>
          <w:b/>
          <w:i/>
          <w:color w:val="000000"/>
          <w:sz w:val="20"/>
        </w:rPr>
        <w:t>Legal Proceedings</w:t>
      </w:r>
      <w:r>
        <w:rPr>
          <w:rFonts w:ascii="Calibri" w:hAnsi="Calibri"/>
          <w:color w:val="000000"/>
          <w:sz w:val="20"/>
        </w:rPr>
        <w:t xml:space="preserve"> </w:t>
      </w:r>
    </w:p>
    <w:p>
      <w:pPr>
        <w:pStyle w:val="TextBody"/>
        <w:bidi w:val="0"/>
        <w:spacing w:before="120" w:after="283"/>
        <w:jc w:val="left"/>
        <w:rPr>
          <w:rFonts w:ascii="Times New Roman" w:hAnsi="Times New Roman"/>
          <w:i/>
          <w:color w:val="212529"/>
          <w:sz w:val="20"/>
        </w:rPr>
      </w:pPr>
      <w:r>
        <w:rPr>
          <w:rFonts w:ascii="Times New Roman" w:hAnsi="Times New Roman"/>
          <w:i/>
          <w:color w:val="212529"/>
          <w:sz w:val="20"/>
        </w:rPr>
        <w:t>Merger Proceedings</w:t>
      </w:r>
    </w:p>
    <w:p>
      <w:pPr>
        <w:pStyle w:val="TextBody"/>
        <w:bidi w:val="0"/>
        <w:spacing w:before="120" w:after="283"/>
        <w:jc w:val="left"/>
        <w:rPr>
          <w:rFonts w:ascii="Calibri" w:hAnsi="Calibri"/>
          <w:sz w:val="20"/>
        </w:rPr>
      </w:pPr>
      <w:r>
        <w:rPr>
          <w:rFonts w:ascii="Times New Roman" w:hAnsi="Times New Roman"/>
          <w:color w:val="212529"/>
          <w:sz w:val="20"/>
        </w:rPr>
        <w:t xml:space="preserve">In connection with the Merger, two complaints were filed in the Supreme Court of the State of New York, County of New York, captioned </w:t>
      </w:r>
      <w:r>
        <w:rPr>
          <w:rFonts w:ascii="Times New Roman" w:hAnsi="Times New Roman"/>
          <w:i/>
          <w:color w:val="212529"/>
          <w:sz w:val="20"/>
        </w:rPr>
        <w:t>Thomas v. Reneo Pharmaceuticals, Inc., et al.</w:t>
      </w:r>
      <w:r>
        <w:rPr>
          <w:rFonts w:ascii="Times New Roman" w:hAnsi="Times New Roman"/>
          <w:color w:val="212529"/>
          <w:sz w:val="20"/>
        </w:rPr>
        <w:t xml:space="preserve">, Index No. 654628/2024 (filed September 5, 2024) and </w:t>
      </w:r>
      <w:r>
        <w:rPr>
          <w:rFonts w:ascii="Times New Roman" w:hAnsi="Times New Roman"/>
          <w:i/>
          <w:color w:val="212529"/>
          <w:sz w:val="20"/>
        </w:rPr>
        <w:t>Kent v. Reneo Pharmaceuticals, Inc., et al.</w:t>
      </w:r>
      <w:r>
        <w:rPr>
          <w:rFonts w:ascii="Times New Roman" w:hAnsi="Times New Roman"/>
          <w:color w:val="212529"/>
          <w:sz w:val="20"/>
        </w:rPr>
        <w:t>, Index No. 654642/2024 (filed September 6, 2024) (together, the “Complaints”). The Complaints generally allege that the Proxy Statement/Prospectus filed by Reneo with the SEC misrepresented and/or omitted certain purportedly material information relating to Reneo management’s financial projections for Reneo and OnKure, the data and inputs underlying the financial valuation analyses that support the fairness opinion provided by Leerink Partners, Reneo’s financial advisor, and potential conflicts of interest with Leerink Partners LLC, Evercore Group L.L.C., and LifeSci Capital LLC, which were the placements agents for the Concurrent Financing that closed concurrently with the Merger. The Complaints assert violations of negligent misrepresentation and concealment in violation of New York common law and negligence in violation of New York common law. The Complaints sought orders enjoining the proposed Merger, or in the event that the Merger was consummated, orders rescinding the Merger or awarding actual and punitive damages, as well as all of the plaintiffs’ fees and expenses in connection with the litigation, including reasonable attorneys’ and experts’ fees and expenses. The plaintiffs have not pursued their claims in the Complaints and there has been no activity on either docket; however, the Complaints remain pending</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outcome of the Complaints or any other litigation that might be filed arising out of the Merger or the Concurrent Financing. The Company and the individual defendants intend to vigorously defend against the Complaints and any subsequently filed, similar actions. It is possible additional lawsuits may be filed arising out of the Merger or the Concurrent Financing. Absent new or significantly different allegations, the Company will not necessarily disclose such additional filings.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time-to-time in the future, the Company could be involved in disputes, including litigation, relating to claims arising out of operations in the normal course of business, which may have a material adverse effect on the Company’s consolidated results of operations or financial position.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business partners and other parties with respect to certain matters including, but not limited to, losses arising of breach of such agreements or from intellectual property infringement claims made by third parties. In addition, the Company has entered into indemnification agreements with its officers and members of its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because of such indemnifications. The Company is not aware of any claims under indemnification arrangements, and it has not accrued any liabilities related to such obligations in its financial statements as of June 30, 2026 and December 31, 2025.</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left"/>
        <w:rPr>
          <w:rFonts w:ascii="Times New Roman" w:hAnsi="Times New Roman"/>
          <w:b/>
          <w:color w:val="000000"/>
          <w:sz w:val="20"/>
        </w:rPr>
      </w:pPr>
      <w:bookmarkStart w:id="9" w:name="item2managementsdiscussionandanalysisof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and our audited consolidated financial statements and notes thereto and the related Management’s Discussion and Analysis of Financial Condition and Results of Operations included in our audited financial statements and the related notes for the years ended December 31, 2025 and 2024 included in our Annual Report on Form 10-K for the year ended December 31, 2025, and subsequent filings. Unless otherwise indicated, all references in this Quarterly Report on Form 10-Q to “OnKure,” the “Company,” “we,” “our,” “us,” or similar terms refer to OnKure Therapeutics,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Calibri" w:hAnsi="Calibri"/>
          <w:sz w:val="20"/>
        </w:rPr>
      </w:pPr>
      <w:r>
        <w:rPr>
          <w:rFonts w:ascii="Times New Roman" w:hAnsi="Times New Roman"/>
          <w:color w:val="231F20"/>
          <w:sz w:val="20"/>
        </w:rPr>
        <w:t>We are a clinical-stage biopharmaceutical company focused on the discovery and development of precision medicines that target biologically validated drivers of vascular anomalies and cancers that are underserved by available therapies. Using a structure- and computational chemistry-driven drug design platform, we are committed to improving clinical outcomes for patients by building a pipeline of small molecule drugs designed to selectively target specific mutations thought to be key drivers of cancer and vascular anomalies. By improving selectivity for the mutated form of these disease-driving proteins, we aim to discover and develop drugs with improved safety and efficacy by sparing toxicity that arises from non-selective inhibition of the non-mutated (or wild-type) version of the protein. We work under the belief that inhibiting target proteins with specific mutations instead of wild-type variants should enable precise patient selection that will, in turn, improve the probability of clinical success. We designed our current product candidates utilizing disciplined medicinal chemistry, x-ray crystallography, and computational chemistry to inhibit specified mutated versions of PI3K</w:t>
      </w:r>
      <w:r>
        <w:rPr>
          <w:rFonts w:ascii="Arial" w:hAnsi="Arial"/>
          <w:color w:val="231F20"/>
          <w:sz w:val="20"/>
        </w:rPr>
        <w:t>α</w:t>
      </w:r>
      <w:r>
        <w:rPr>
          <w:rFonts w:ascii="Times New Roman" w:hAnsi="Times New Roman"/>
          <w:color w:val="231F20"/>
          <w:sz w:val="20"/>
        </w:rPr>
        <w:t>, a key mediator in cancer growth signaling.</w:t>
      </w:r>
      <w:r>
        <w:rPr>
          <w:rFonts w:ascii="Calibri" w:hAnsi="Calibri"/>
          <w:color w:val="231F20"/>
          <w:sz w:val="20"/>
        </w:rPr>
        <w:t xml:space="preserve"> </w:t>
      </w:r>
    </w:p>
    <w:p>
      <w:pPr>
        <w:pStyle w:val="TextBody"/>
        <w:bidi w:val="0"/>
        <w:spacing w:before="120" w:after="283"/>
        <w:jc w:val="left"/>
        <w:rPr>
          <w:rFonts w:ascii="Calibri" w:hAnsi="Calibri"/>
          <w:sz w:val="20"/>
        </w:rPr>
      </w:pPr>
      <w:r>
        <w:rPr>
          <w:rFonts w:ascii="Times New Roman" w:hAnsi="Times New Roman"/>
          <w:i/>
          <w:color w:val="000000"/>
          <w:sz w:val="20"/>
        </w:rPr>
        <w:t>Next-Generation PI3K</w:t>
      </w:r>
      <w:r>
        <w:rPr>
          <w:rFonts w:ascii="Times New Roman" w:hAnsi="Times New Roman"/>
          <w:color w:val="000000"/>
          <w:sz w:val="20"/>
        </w:rPr>
        <w:t>α</w:t>
      </w:r>
      <w:r>
        <w:rPr>
          <w:rFonts w:ascii="Calibri" w:hAnsi="Calibri"/>
          <w:color w:val="000000"/>
          <w:sz w:val="20"/>
        </w:rPr>
        <w:t xml:space="preserve"> </w:t>
      </w:r>
      <w:r>
        <w:rPr>
          <w:rFonts w:ascii="Times New Roman" w:hAnsi="Times New Roman"/>
          <w:i/>
          <w:color w:val="000000"/>
          <w:sz w:val="20"/>
        </w:rPr>
        <w:t>Pan-Mutant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portfolio includes two next-generation PI3Kα pan-mutant programs, OKI-345 in breast cancer and OKI-355 in vascular anomalies. These candidates are designed to selectively inhibit mutant PI3Kα while sparing wildtype PI3Kα, potentially enabling a wider therapeutic index and avoidance of class-limiting toxicities. High and sustained target coverage across all hotspot PI3Kα mutations can support the potential for deep and durable responses in breast cancer, both as monotherapy and in combination regimens where applicable. The PI3Kα pan-mutant candidates are designed to have minimal drug-drug interaction potential, supporting broad combinability with current standards of care where applicable. We plan to submit an Investigational New Drug (“IND”) application to the U.S. Food and Drug Administration for each of OKI-345 and OKI-355 in the first half of 2027.</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Merger</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October 4, 2024, we completed the Merger. Refer to Note 1 “Organization and Business” to the condensed consolidated financial statements included in Part I, Item 1 of this Quarterly Report on Form 10-Q for information regarding the Merger.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Macroeconomic and Geopolitical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may be negatively affected by macroeconomic, geopolitical, and regulatory developments, including inflation, instability in the banking and financial services sector, tightening of the credit markets, international conflicts, cybersecurity, tariffs, sanctions, export controls, government policy positions, and changes in regulatory agencies with oversight of our operations. These developments could affect our supply chain, manufacturing processes, regulatory compliance costs, regulatory approval timelines, and cross-border operations. Further, it is possible that U.S. and non-U.S. government policy changes and related uncertainty about policy changes could increase market volatility and our operating expenses. The extent, severity, and duration of the impacts of these events and conditions on our business cannot be predicted and may not be fully reflected in our results of operations until future periods. If economic uncertainty continues or increases, or if the global economy worsens, our business, financial condition, and results of operations may be harmed. For further discussion of the potential impacts of macroeconomic events and conditions on our business, financial condition, and operating results, see the section titled “Risk Factors” included in this Quarterly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20" w:after="283"/>
        <w:jc w:val="left"/>
        <w:rPr>
          <w:rFonts w:ascii="Calibri" w:hAnsi="Calibri"/>
          <w:sz w:val="20"/>
        </w:rPr>
      </w:pPr>
      <w:r>
        <w:rPr>
          <w:rFonts w:ascii="Times New Roman" w:hAnsi="Times New Roman"/>
          <w:color w:val="000000"/>
          <w:sz w:val="20"/>
        </w:rPr>
        <w:t>Since our inception, our operations have primarily focused on raising capital, establishing and protecting our intellectual property portfolio, organizing and staffing our company, business planning, and conducting preclinical</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and clinical development of and manufacturing development for our product candidates. We do not have any product candidates approved for sale, have not generated any revenue from product sales, and do not expect to generate revenues from the commercial sale of any products for the foreseeable future, if ever.</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Since our inception, we have incurred significant operating losses. Our net losses were $30.5 million and $59.5 million for the six months ended June 30, 2026 and the year ended December 31, 2025, respectively. As of June 30, 2026, we had an accumulated deficit of $244.7 million and cash, cash equivalents and marketable securities of $176.4 million.</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private placements of our common stock and preferred stock and the issuance of convertible debt. As of June 30, 2026, we believe our cash resources are sufficient to fund our planned operations for at least the next 12 months from the date of issuance of our unaudited condensed consolidated financial statements for the quarter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primarily relate to expenses incurred in connection with the discovery and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severance, retention, benefits, insurance, and share-based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CROs, which are investigative sites that conduct our clinical trials, other clinical trial-related vendors, and clinical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developing, and manufacturing and testing clinical and preclinical materials, including costs incurred under agreements with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non-clinical activities and regulatory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market research, and other expenses, which include allocated expenses for rent and maintenance of facilities, depreciation of leasehold improvements and equipment, and laboratory supplies.</w:t>
      </w:r>
    </w:p>
    <w:p>
      <w:pPr>
        <w:pStyle w:val="TextBody"/>
        <w:bidi w:val="0"/>
        <w:spacing w:before="240" w:after="283"/>
        <w:jc w:val="left"/>
        <w:rPr>
          <w:rFonts w:ascii="Calibri" w:hAnsi="Calibri"/>
          <w:sz w:val="20"/>
        </w:rPr>
      </w:pPr>
      <w:r>
        <w:rPr>
          <w:rFonts w:ascii="Times New Roman" w:hAnsi="Times New Roman"/>
          <w:color w:val="000000"/>
          <w:sz w:val="20"/>
        </w:rPr>
        <w:t>We make non-refundable advance payments for goods and services that will be used in future research and development activities. These payments are recorded as expenses in the period in which we receive or take ownership of the goods or when the services are performed.</w:t>
      </w:r>
      <w:r>
        <w:rPr>
          <w:rFonts w:ascii="Calibri" w:hAnsi="Calibri"/>
          <w:color w:val="000000"/>
          <w:sz w:val="20"/>
        </w:rPr>
        <w:t xml:space="preserve"> </w:t>
      </w:r>
      <w:r>
        <w:rPr>
          <w:rFonts w:ascii="Times New Roman" w:hAnsi="Times New Roman"/>
          <w:color w:val="000000"/>
          <w:sz w:val="20"/>
        </w:rPr>
        <w:t>At any one time, we are working on multiple research or drug discovery programs and internal resources. Employees and infrastructure are not directly tied to any one program and are typically deployed across multiple programs; therefore, we do not track these research and development expenses on a program-specific basis.</w:t>
      </w:r>
      <w:r>
        <w:rPr>
          <w:rFonts w:ascii="Calibri" w:hAnsi="Calibri"/>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Conducting preclinical studies and clinical trials necessary to obtain regulatory approval is costly and time-consuming. As we initiate new clinical trials, our research and development expenses may increase. Product candidates in later stages of development generally have higher development costs than those in earlier stages. As a result, we expect that our research and development expenses will increase substantially over the next several years as we advance product candidates through preclinical studies into and through clinical trials, continue to discover and develop additional product candidates, undertake activities to expand, maintain, protect, and enforce our intellectual property portfolio, and hire additional research and development personnel.</w:t>
      </w:r>
    </w:p>
    <w:p>
      <w:pPr>
        <w:pStyle w:val="TextBody"/>
        <w:bidi w:val="0"/>
        <w:spacing w:before="240" w:after="283"/>
        <w:jc w:val="left"/>
        <w:rPr>
          <w:rFonts w:ascii="Calibri" w:hAnsi="Calibri"/>
          <w:sz w:val="20"/>
        </w:rPr>
      </w:pPr>
      <w:r>
        <w:rPr>
          <w:rFonts w:ascii="Times New Roman" w:hAnsi="Times New Roman"/>
          <w:color w:val="000000"/>
          <w:sz w:val="20"/>
        </w:rPr>
        <w:t>Successful development of product candidates is highly uncertain and may not result in approved products. The probability of success for each product candidate may be affected by numerous factors, including clinical data, preclinical data, competition, manufacturability, and commercial viability. Completion dates and completion costs can vary significantly for each product candidate and are difficult to predict. We anticipate that we will make determinations as to which programs to pursue and how much funding to direct to each program on an ongoing basis</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response to our ability to enter strategic alliances with respect to each program or product candidate, the scientific and clinical success of each product candidate, and ongoing assessments as to each product candidate’s commercial potential. We will need to raise additional capital and may seek strategic alliances in the future to advance our various programs.</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bonuses and related benefits, share-based compensation, and severance and retention benefits related to our executive, finance, and administrative functions, professional fees for auditing, tax, consulting, and legal services, as well as insurance, board of director compensation, consulting, and other administrative expenses. We recognize general and administrative expenses in the periods in which they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increase over the next several years as we hire additional personnel to support the growth of our business. In addition, we will incur significant additional expenses associated with being a public company, including expenses related to accounting, audit, legal, regulatory, public company reporting and compliance, director and officer insurance, investor and public relations, and other administrative and professional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primarily consists of interest income generated from our cash equivalents and marketable securities in interest-bearing money market accounts and short-term government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w:t>
      </w:r>
    </w:p>
    <w:tbl>
      <w:tblPr>
        <w:tblW w:w="7712" w:type="dxa"/>
        <w:jc w:val="left"/>
        <w:tblInd w:w="0" w:type="dxa"/>
        <w:tblLayout w:type="fixed"/>
        <w:tblCellMar>
          <w:top w:w="28" w:type="dxa"/>
          <w:left w:w="28" w:type="dxa"/>
          <w:bottom w:w="28" w:type="dxa"/>
          <w:right w:w="28" w:type="dxa"/>
        </w:tblCellMar>
      </w:tblPr>
      <w:tblGrid>
        <w:gridCol w:w="3336"/>
        <w:gridCol w:w="211"/>
        <w:gridCol w:w="736"/>
        <w:gridCol w:w="166"/>
        <w:gridCol w:w="146"/>
        <w:gridCol w:w="211"/>
        <w:gridCol w:w="736"/>
        <w:gridCol w:w="166"/>
        <w:gridCol w:w="146"/>
        <w:gridCol w:w="274"/>
        <w:gridCol w:w="627"/>
        <w:gridCol w:w="166"/>
        <w:gridCol w:w="791"/>
      </w:tblGrid>
      <w:tr>
        <w:trPr/>
        <w:tc>
          <w:tcPr>
            <w:tcW w:w="3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and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Calibri" w:hAnsi="Calibri"/>
          <w:sz w:val="20"/>
        </w:rPr>
      </w:pPr>
      <w:r>
        <w:rPr>
          <w:rFonts w:ascii="Times New Roman" w:hAnsi="Times New Roman"/>
          <w:color w:val="000000"/>
          <w:sz w:val="20"/>
        </w:rPr>
        <w:t>Research and development expenses were $12.6 million for both the three months ended June 30, 2026 and June 30, 2025. The research and development expenses for the three months ended June 30, 2026 included a $0.5 million increase in clinical trial costs which was offset by a decrease of $0.5 million in outsourced preclinical research and development expenses.</w:t>
      </w:r>
      <w:r>
        <w:rPr>
          <w:rFonts w:ascii="Calibri" w:hAnsi="Calibri"/>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Calibri" w:hAnsi="Calibri"/>
          <w:sz w:val="20"/>
        </w:rPr>
      </w:pPr>
      <w:r>
        <w:rPr>
          <w:rFonts w:ascii="Times New Roman" w:hAnsi="Times New Roman"/>
          <w:color w:val="000000"/>
          <w:sz w:val="20"/>
        </w:rPr>
        <w:t>General and administrative expenses were $4.3 million for the three months ended June 30, 2026 compared to $3.7 million for the three months ended June 30, 2025. The increase of approximately $0.6 million was primarily</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due to $0.3 million in increased personnel-related costs, including $0.1 million of increased share-based compensation charges. In addition, consulting fees increased by $0.2 million.</w:t>
      </w:r>
      <w:r>
        <w:rPr>
          <w:rFonts w:ascii="Calibri" w:hAnsi="Calibri"/>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was $1.6 million for the three months ended June 30, 2026 compared to $0.9 million for the three months ended June 30, 2025. The change was primarily due to an increase in interest income due to an increase in cash, cash equivalents and marketable securities available to invest during the quarter ended June 30, 2026 as compared to the quarter ended June 30, 2025.</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w:t>
      </w:r>
    </w:p>
    <w:tbl>
      <w:tblPr>
        <w:tblW w:w="7566" w:type="dxa"/>
        <w:jc w:val="left"/>
        <w:tblInd w:w="0" w:type="dxa"/>
        <w:tblLayout w:type="fixed"/>
        <w:tblCellMar>
          <w:top w:w="28" w:type="dxa"/>
          <w:left w:w="28" w:type="dxa"/>
          <w:bottom w:w="28" w:type="dxa"/>
          <w:right w:w="28" w:type="dxa"/>
        </w:tblCellMar>
      </w:tblPr>
      <w:tblGrid>
        <w:gridCol w:w="3336"/>
        <w:gridCol w:w="211"/>
        <w:gridCol w:w="736"/>
        <w:gridCol w:w="166"/>
        <w:gridCol w:w="146"/>
        <w:gridCol w:w="211"/>
        <w:gridCol w:w="736"/>
        <w:gridCol w:w="166"/>
        <w:gridCol w:w="146"/>
        <w:gridCol w:w="225"/>
        <w:gridCol w:w="676"/>
        <w:gridCol w:w="811"/>
      </w:tblGrid>
      <w:tr>
        <w:trPr/>
        <w:tc>
          <w:tcPr>
            <w:tcW w:w="3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and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Calibri" w:hAnsi="Calibri"/>
          <w:sz w:val="20"/>
        </w:rPr>
      </w:pPr>
      <w:r>
        <w:rPr>
          <w:rFonts w:ascii="Times New Roman" w:hAnsi="Times New Roman"/>
          <w:color w:val="000000"/>
          <w:sz w:val="20"/>
        </w:rPr>
        <w:t>Research and development expenses were $24.3 million for the six months ended June 30, 2026 compared to $25.6 million for the six months ended June 30, 2025. The decrease of approximately $1.3 million was primarily due to $1.5 million of decreased outsourced preclinical research and development expenses and $0.4 million of personnel-related costs, partially offset by an increase of $0.6 million clinical trial and outsourced manufacturing costs.</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research and development expenses in 2026 to be higher than 2025 due to continued efforts to advance our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$8.2 million for the six months ended June 30, 2026 compared to $7.7 million for the six months ended June 30, 2025. The increase of approximately $0.5 million was primarily due to a $0.5 million increase in personnel-related costs, including $0.2 million of increased share-based compensation charges, and $0.1 million increase in consulting costs. These increases were partially offset by a $0.1 million decrease in legal and filing fee costs.</w:t>
      </w:r>
    </w:p>
    <w:p>
      <w:pPr>
        <w:pStyle w:val="TextBody"/>
        <w:bidi w:val="0"/>
        <w:spacing w:before="120" w:after="283"/>
        <w:jc w:val="left"/>
        <w:rPr>
          <w:rFonts w:ascii="Calibri" w:hAnsi="Calibri"/>
          <w:sz w:val="20"/>
        </w:rPr>
      </w:pPr>
      <w:r>
        <w:rPr>
          <w:rFonts w:ascii="Times New Roman" w:hAnsi="Times New Roman"/>
          <w:color w:val="000000"/>
          <w:sz w:val="20"/>
        </w:rPr>
        <w:t>We expect general and administrative expenses in 2026 to be higher than 2025.</w:t>
      </w:r>
      <w:r>
        <w:rPr>
          <w:rFonts w:ascii="Calibri" w:hAnsi="Calibri"/>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Calibri" w:hAnsi="Calibri"/>
          <w:sz w:val="20"/>
        </w:rPr>
      </w:pPr>
      <w:r>
        <w:rPr>
          <w:rFonts w:ascii="Times New Roman" w:hAnsi="Times New Roman"/>
          <w:color w:val="000000"/>
          <w:sz w:val="20"/>
        </w:rPr>
        <w:t>Other income was $2.0 million for the six months ended June 30, 2026 which was consistent with the six months ended June 30, 2025.</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other income in 2026 to be higher than 2025 with higher average available cash to invest during 2026 given the 2026 Private Placement that closed March 31,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not generated any revenue from product sales and have incurred significant operating losses and negative cash flows from our operations. We expect to continue to incur significant expenses and operating losses for the foreseeable future as we advance the development of our product candidates. We expect that our research and development and general and administrative costs will continue to increase significantly, including in connection with initiating and conducting clinical trials and manufacturing our product candidates to support such clinical trials and commercialization and providing general and administrative support for our operations. As a result, we will need additional capital to fund our operations, which we may seek to obtain from equity or debt financings, collaborations, licensing arrangements or other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we completed the 2026 Private Placement for aggregate gross proceeds of approximately $150.0 million, before deducting placement agent fees and offering expenses. Pursuant to the 2026 PIPE Purchase Agreement, we agreed to use the proceeds from the 2026 Private Placement for research and development expenses for our vascular anomalies and breast cancer programs, excluding our former lead product candidate, OKI-219, and for working capital and other general corporate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filed the Registration Statement, which registered an aggregate of up to $200 million of securities that may be issued and sold from time to time, including initially up to an aggregate offering price of $16.0 million of Common Stock (which is included in the $200 million aggregate offering price set forth in the base prospectus) that may be issued and sold pursuant to the ATM Sales Agreement. As of June 30, 2026, no shares have been sold under the ATM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private placements of equity and convertible debt. Based on our current operating plan, we believe that our existing cash, cash equivalents and marketable securities will be sufficient to fund our planned operations for at least the next 12 months from the date of issuance of our unaudited condensed consolidated financial statements for the quarter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Calibri" w:hAnsi="Calibri"/>
          <w:sz w:val="20"/>
        </w:rPr>
      </w:pPr>
      <w:r>
        <w:rPr>
          <w:rFonts w:ascii="Times New Roman" w:hAnsi="Times New Roman"/>
          <w:color w:val="000000"/>
          <w:sz w:val="20"/>
        </w:rPr>
        <w:t>Our primary uses of cash to date have been to fund our research and development activities, including with respect to our PI3Kα and other programs, business planning, establishing and maintaining our intellectual property portfolio, hiring personnel, raising capital, and providing general and administrative support for these activities.</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generated any revenue from product sales and do not expect to generate any meaningful product revenue unless and until we obtain regulatory approval for our product candidates, and management does not know when, or if, that will occur. Until we can generate significant revenue from product sales, if ever, we will continue to require substantial additional capital to develop our product candidates and fund operations for the foreseeable future. We are subject to all the risks inherent in the development of new biopharmaceutical products, and we may encounter unforeseen expenses, difficulties, complications, delays, and other unknown factors that may harm our business.</w:t>
      </w:r>
    </w:p>
    <w:p>
      <w:pPr>
        <w:pStyle w:val="TextBody"/>
        <w:bidi w:val="0"/>
        <w:spacing w:before="120" w:after="283"/>
        <w:jc w:val="left"/>
        <w:rPr>
          <w:rFonts w:ascii="Calibri" w:hAnsi="Calibri"/>
          <w:sz w:val="20"/>
        </w:rPr>
      </w:pPr>
      <w:r>
        <w:rPr>
          <w:rFonts w:ascii="Times New Roman" w:hAnsi="Times New Roman"/>
          <w:color w:val="000000"/>
          <w:sz w:val="20"/>
        </w:rPr>
        <w:t>In order to complete the development of our product candidates and to build the sales, marketing, and distribution infrastructure that we believe will be necessary to commercialize product candidates, if approved, we will require substantial additional capital. Accordingly, until such time that we can generate a sufficient amount of revenue from product sales or other sources, we expect to seek to raise any necessary additional capital through equity financings, debt financings, or other capital sources, which could include income from collaborations, partnerships, licensing, or other strategic arrangements with third parties. To the extent that we raise additional capital through equity financings or convertible debt securities, the ownership interest of our stockholders will be diluted, and the terms of these securities may include liquidation or other preferences that adversely affect the rights of our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own common stock, make certain investments, or engage in merger, consolidation, licensing or asset sale transactions. If we raise capital through collaborations, partnerships, or other similar arrangements with third parties, we may be required to grant rights to develop and market product candidates that we would otherwise prefer to develop and market ourselves. We may be unable to raise additional capital from these sources on favorable terms, or at all.</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Our ability to secure capital is dependent upon a number of factors, including our success in developing our product candidates and our ability to access the capital markets. The failure to obtain sufficient capital on acceptable</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We cannot provide assurance that we will ever generate positive cash flow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results, and costs of researching and developing OKI-345, OKI-355, and any other product candidates,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results and costs of researching and developing other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activities, including product sales, medical affairs, marketing, manufacturing, and distribution for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commercial-grade products and producing sufficient inventory to support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products, should our product candidates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attracting, hiring, and retaining skilled personnel to support our operations and continued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maintain, and derive value from collaborations, partnerships, or other marketing, distribution, licensing, or other strategic arrangements with third parties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in-licenses other product candidates and technologies,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operating as a public company.</w:t>
      </w:r>
    </w:p>
    <w:p>
      <w:pPr>
        <w:pStyle w:val="TextBody"/>
        <w:bidi w:val="0"/>
        <w:jc w:val="left"/>
        <w:rPr>
          <w:rFonts w:ascii="Times New Roman" w:hAnsi="Times New Roman"/>
          <w:color w:val="000000"/>
          <w:sz w:val="20"/>
        </w:rPr>
      </w:pPr>
      <w:r>
        <w:rPr>
          <w:rFonts w:ascii="Times New Roman" w:hAnsi="Times New Roman"/>
          <w:color w:val="000000"/>
          <w:sz w:val="20"/>
        </w:rPr>
        <w:t>A change in the outcome of any of these or other factors with respect to the development of OKI-345 and OKI-355 or any other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7214" w:type="dxa"/>
        <w:jc w:val="left"/>
        <w:tblInd w:w="0" w:type="dxa"/>
        <w:tblLayout w:type="fixed"/>
        <w:tblCellMar>
          <w:top w:w="28" w:type="dxa"/>
          <w:left w:w="28" w:type="dxa"/>
          <w:bottom w:w="28" w:type="dxa"/>
          <w:right w:w="28" w:type="dxa"/>
        </w:tblCellMar>
      </w:tblPr>
      <w:tblGrid>
        <w:gridCol w:w="4321"/>
        <w:gridCol w:w="223"/>
        <w:gridCol w:w="827"/>
        <w:gridCol w:w="175"/>
        <w:gridCol w:w="154"/>
        <w:gridCol w:w="223"/>
        <w:gridCol w:w="780"/>
        <w:gridCol w:w="511"/>
      </w:tblGrid>
      <w:tr>
        <w:trPr/>
        <w:tc>
          <w:tcPr>
            <w:tcW w:w="43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activities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Investing activities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Financing activities</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107,452</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2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Cash used in operating activities during the six months ended June 30, 2026 was $23.3 million. This consisted primarily of a net loss of $30.5 million, a net increase in operating assets and liabilities of $1.0 million, offset by non-cash share-based compensation of $5.8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20" w:after="283"/>
        <w:jc w:val="left"/>
        <w:rPr>
          <w:rFonts w:ascii="Calibri" w:hAnsi="Calibri"/>
          <w:sz w:val="20"/>
        </w:rPr>
      </w:pPr>
      <w:r>
        <w:rPr>
          <w:rFonts w:ascii="Times New Roman" w:hAnsi="Times New Roman"/>
          <w:color w:val="000000"/>
          <w:sz w:val="20"/>
        </w:rPr>
        <w:t>Cash used in operating activities during the six months ended June 30, 2025 was $27.3 million. This consisted primarily of a net loss of $31.3 million, a net decrease in operating assets and liabilities of $2.0 million, and non-cash share-based compensation of $5.7 million.</w:t>
      </w:r>
      <w:r>
        <w:rPr>
          <w:rFonts w:ascii="Calibri" w:hAnsi="Calibri"/>
          <w:color w:val="000000"/>
          <w:sz w:val="20"/>
        </w:rPr>
        <w:t xml:space="preserve"> </w:t>
      </w:r>
    </w:p>
    <w:p>
      <w:pPr>
        <w:pStyle w:val="TextBody"/>
        <w:bidi w:val="0"/>
        <w:spacing w:before="22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$9.9 million for six months ended June 30, 2026, and primarily related to purchases of marketable securities. Cash used in investing activities was $31 thousand for six months ended June 30, 2025, related to purchase of property and equipment.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Calibri" w:hAnsi="Calibri"/>
          <w:sz w:val="20"/>
        </w:rPr>
      </w:pPr>
      <w:r>
        <w:rPr>
          <w:rFonts w:ascii="Times New Roman" w:hAnsi="Times New Roman"/>
          <w:color w:val="000000"/>
          <w:sz w:val="20"/>
        </w:rPr>
        <w:t>Cash provided by financing activities during the six months ended June 30, 2026 was $140.6 million and primarily related to the net proceeds from the sale of Common Stock and pre-funded warrants in connection with the 2026 Private Placement and proceeds from the sale of stock under the employee stock purchase plan.</w:t>
      </w:r>
      <w:r>
        <w:rPr>
          <w:rFonts w:ascii="Calibri" w:hAnsi="Calibri"/>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during the six months ended June 30, 2025 was $77 thousand and related to payment of issuance costs from the Concurrent Financing and reverse recapitalization transaction costs in connection with the Merger.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below summarizes our significant contractual obligations and commitments as of June 30, 2026.</w:t>
      </w:r>
    </w:p>
    <w:p>
      <w:pPr>
        <w:pStyle w:val="TextBody"/>
        <w:bidi w:val="0"/>
        <w:spacing w:before="120" w:after="283"/>
        <w:jc w:val="left"/>
        <w:rPr>
          <w:rFonts w:ascii="Calibri" w:hAnsi="Calibri"/>
          <w:sz w:val="20"/>
        </w:rPr>
      </w:pPr>
      <w:r>
        <w:rPr>
          <w:rFonts w:ascii="Times New Roman" w:hAnsi="Times New Roman"/>
          <w:i/>
          <w:color w:val="000000"/>
          <w:sz w:val="20"/>
        </w:rPr>
        <w:t>Leases</w:t>
      </w:r>
      <w:r>
        <w:rPr>
          <w:rFonts w:ascii="Times New Roman" w:hAnsi="Times New Roman"/>
          <w:color w:val="000000"/>
          <w:sz w:val="20"/>
        </w:rPr>
        <w:t>. See Note 4 of Notes to our Condensed Consolidated Financial Statements included in this Quarterly Report on Form 10-Q for information regarding our leases, including the future operating lease minimum payments.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condensed consolidated financial statements, which have been prepared in accordance with accounting principles generally accepted in the United States of America (“GAAP”). The preparation of these condensed consolidated financial statements requires us to make estimates and judgments that affect the reported amounts of assets, liabilities, and expenses and the disclosure of contingent assets and liabilities at the date of the condensed consolidated financial statements. We base our estimates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are described in our audited financial statements and the related notes for the years ended December 31, 2025 and 2024 included in our Annual Report on Form 10-K for the year ended December 31, 2025, and the notes to the condensed consolidated financial statements appearing elsewhere in this Quarterly Report on Form 10-Q. During the three months ended June 30, 2026, there were no material changes to our critical accounting policies from those discussed in our Annual Report on Form 10-K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of Notes to the Condensed Consolidated Financial Statements included in this Quarterly Report on Form 10-Q for a description of recent accounting pronouncements applicable to our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360" w:after="283"/>
        <w:jc w:val="left"/>
        <w:rPr>
          <w:rFonts w:ascii="Times New Roman" w:hAnsi="Times New Roman"/>
          <w:b/>
          <w:color w:val="000000"/>
          <w:sz w:val="20"/>
        </w:rPr>
      </w:pPr>
      <w:bookmarkStart w:id="10" w:name="item3quantitativeandqualitativedisclosur"/>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under the Exchange Act and in Item 10(f)(1) of Regulation S-K, and are not required to provide the information under this item.</w:t>
      </w:r>
    </w:p>
    <w:p>
      <w:pPr>
        <w:pStyle w:val="TextBody"/>
        <w:bidi w:val="0"/>
        <w:spacing w:before="360" w:after="283"/>
        <w:jc w:val="left"/>
        <w:rPr>
          <w:rFonts w:ascii="Times New Roman" w:hAnsi="Times New Roman"/>
          <w:b/>
          <w:color w:val="000000"/>
          <w:sz w:val="20"/>
        </w:rPr>
      </w:pPr>
      <w:bookmarkStart w:id="11" w:name="item4controlsandprocedures_953372"/>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principal executive officer and our principal financial officer have concluded that as of June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principal executive officer and our principal financial officer, as appropriate, to allow timely decisions regarding required disclosure.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three months ended June 30, 2026 that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0" w:after="240"/>
        <w:jc w:val="center"/>
        <w:rPr>
          <w:rFonts w:ascii="Times New Roman" w:hAnsi="Times New Roman"/>
          <w:b/>
          <w:color w:val="000000"/>
          <w:sz w:val="20"/>
        </w:rPr>
      </w:pPr>
      <w:bookmarkStart w:id="12" w:name="partiiotherinformation_561478"/>
      <w:bookmarkEnd w:id="12"/>
      <w:r>
        <w:rPr>
          <w:rFonts w:ascii="Times New Roman" w:hAnsi="Times New Roman"/>
          <w:b/>
          <w:color w:val="000000"/>
          <w:sz w:val="20"/>
        </w:rPr>
        <w:t>PART II — OTHER INFORMATION</w:t>
      </w:r>
    </w:p>
    <w:p>
      <w:pPr>
        <w:pStyle w:val="TextBody"/>
        <w:bidi w:val="0"/>
        <w:spacing w:before="0" w:after="120"/>
        <w:jc w:val="left"/>
        <w:rPr>
          <w:rFonts w:ascii="Calibri" w:hAnsi="Calibri"/>
          <w:sz w:val="20"/>
        </w:rPr>
      </w:pPr>
      <w:bookmarkStart w:id="13" w:name="notestocondensedconsolidatedfinancialsta"/>
      <w:bookmarkEnd w:id="13"/>
      <w:r>
        <w:rPr>
          <w:rFonts w:ascii="Times New Roman" w:hAnsi="Times New Roman"/>
          <w:b/>
          <w:color w:val="000000"/>
          <w:sz w:val="20"/>
        </w:rPr>
        <w:t>Item 1. Legal Proceedings</w:t>
      </w:r>
      <w:bookmarkStart w:id="14" w:name="item1legalproceedings"/>
      <w:bookmarkEnd w:id="14"/>
      <w:r>
        <w:rPr>
          <w:rFonts w:ascii="Calibri" w:hAnsi="Calibri"/>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left"/>
        <w:rPr>
          <w:rFonts w:ascii="Times New Roman" w:hAnsi="Times New Roman"/>
          <w:b/>
          <w:color w:val="000000"/>
          <w:sz w:val="20"/>
        </w:rPr>
      </w:pPr>
      <w:bookmarkStart w:id="15" w:name="risk_factors"/>
      <w:bookmarkEnd w:id="15"/>
      <w:r>
        <w:rPr>
          <w:rFonts w:ascii="Times New Roman" w:hAnsi="Times New Roman"/>
          <w:b/>
          <w:color w:val="000000"/>
          <w:sz w:val="20"/>
        </w:rPr>
        <w:t>Item 1A. Risk Factors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carefully consider the risks described below, as well as the other information in this Quarterly Report, including our unaudited condensed consolidated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Summary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operations are subject to numerous risks and uncertainties, including those outside of our control, that could cause our actual results to be harmed, including risks regarding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early in our development efforts and have no products approved for commercial sale, which may make it difficult for you to evaluate our current business and likelihood of success and future viability.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in each period since inception, and expect to continue to incur significant net losses for the foreseeable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generated revenue from product sales and may never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need substantial additional funding before we can complete the development of our product candidates. If we are unable to obtain such additional capital on favorable terms, on a timely basis, or at all, we would be forced to delay, reduce or eliminate our product development and clinical programs and may not have the capital required to otherwise operate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advance OKI-345 and OKI-355 through preclinical and clinical development, obtain regulatory approval and ultimately commercialize one or more of such product candidates, or experience significant delays in doing so, our business will be materially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limited resources. As a result, we may fail to capitalize on programs, product candidates or indications that may be more profitable or for which there is a greater likelihood of success.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clinical trials of our product candidates fail to demonstrate safety and efficacy to the satisfaction of regulatory authorities or do not otherwise produce positive results, we would incur additional costs or experience delays in completing, or ultimately be unable to complete, the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EMA and other comparable foreign regulatory authorities are lengthy, time-consuming and inherently unpredictable. If we are ultimately unable to obtain regulatory approval of our product candidates, we will be unable to generate product revenue and our business will be substantially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or difficulties in the enrollment or retention of subjects in clinical trials, our receipt of necessary regulatory approvals could be delayed or prevented.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technology and product candidates,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 candidates may be adversely affected.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and expect to continue to rely, on third parties, including independent clinical investigators and CROs, to conduct, supervise, and monitor certain aspects of our clinical trials and preclinical studies. If these third parties do not successfully carry out their contractual duties, comply with applicable regulatory requirements, and meet expected deadlines, we may not be able to obtain regulatory approval for or commercialize our product candidates, or such approval or commercialization may be delayed, and our business could be substantially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is highly dependent on our ability to attract and retain highly skilled executive officers and employees.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our Class A Common Stock has been and is expected to continue to be volatile.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Certificate of Incorporation, our Amended Bylaws, and provisions of Delaware law could make acquiring us more difficult and may prevent attempts by our stockholders to replace or remove our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Merger, we are subject to the SEC requirements applicable to reporting shell company business combinations. As a result, we are subject to more stringent reporting requirements, offering limitations, and resale restrictions than some other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be subject to securities class action litigation, which is expensive and could divert management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officers, directors, and principal stockholders have the ability to control or significantly influence all matters submitted to our stockholders for approval.</w:t>
      </w:r>
    </w:p>
    <w:p>
      <w:pPr>
        <w:pStyle w:val="TextBody"/>
        <w:bidi w:val="0"/>
        <w:spacing w:before="360" w:after="283"/>
        <w:jc w:val="left"/>
        <w:rPr>
          <w:rFonts w:ascii="Times New Roman" w:hAnsi="Times New Roman"/>
          <w:b/>
          <w:color w:val="231F20"/>
          <w:sz w:val="20"/>
          <w:u w:val="single"/>
        </w:rPr>
      </w:pPr>
      <w:r>
        <w:rPr>
          <w:rFonts w:ascii="Times New Roman" w:hAnsi="Times New Roman"/>
          <w:b/>
          <w:color w:val="231F20"/>
          <w:sz w:val="20"/>
          <w:u w:val="single"/>
        </w:rPr>
        <w:t>Risks Related to Our Operating History, Financial Position and Need for Additional Capital</w:t>
      </w:r>
    </w:p>
    <w:p>
      <w:pPr>
        <w:pStyle w:val="TextBody"/>
        <w:bidi w:val="0"/>
        <w:jc w:val="left"/>
        <w:rPr>
          <w:rFonts w:ascii="Times New Roman" w:hAnsi="Times New Roman"/>
          <w:b/>
          <w:i/>
          <w:color w:val="231F20"/>
          <w:sz w:val="20"/>
        </w:rPr>
      </w:pPr>
      <w:r>
        <w:rPr>
          <w:rFonts w:ascii="Times New Roman" w:hAnsi="Times New Roman"/>
          <w:b/>
          <w:i/>
          <w:color w:val="231F20"/>
          <w:sz w:val="20"/>
        </w:rPr>
        <w:t>We are early in our development efforts and have no products approved for commercial sale, which may make it difficult for you to evaluate our current business and likelihood of success and future viability.</w:t>
      </w:r>
    </w:p>
    <w:p>
      <w:pPr>
        <w:pStyle w:val="TextBody"/>
        <w:bidi w:val="0"/>
        <w:jc w:val="left"/>
        <w:rPr>
          <w:rFonts w:ascii="Calibri" w:hAnsi="Calibri"/>
          <w:sz w:val="20"/>
        </w:rPr>
      </w:pPr>
      <w:r>
        <w:rPr>
          <w:rFonts w:ascii="Times New Roman" w:hAnsi="Times New Roman"/>
          <w:color w:val="000000"/>
          <w:sz w:val="20"/>
        </w:rPr>
        <w:t>We are a clinical-stage biopharmaceutical company, have no products approved for commercial sale and have never generated any revenue. Our operations to date have been limited to organizing the company, raising capital and developing our product candidates. We have not yet demonstrated our ability to obtain marketing approvals, manufacture a commercial-scale product or arrange for a third-party to do so on our behalf, or conduct sales and marketing activities necessary for successful product commercialization. As a result, it may be difficult for investors to accurately predict our likelihood of success and viability.</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231F20"/>
          <w:sz w:val="20"/>
        </w:rPr>
        <w:t xml:space="preserve">In addition, we may encounter unforeseen expenses, difficulties, complications, delays and other known and unknown factors and risks frequently experienced by early-stage biopharmaceutical companies in rapidly </w:t>
      </w:r>
      <w:r>
        <w:rPr>
          <w:rFonts w:ascii="Times New Roman" w:hAnsi="Times New Roman"/>
          <w:color w:val="000000"/>
          <w:sz w:val="20"/>
        </w:rPr>
        <w:t>evolving fields. We also expect that, as we advance our product candidates, we will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b/>
          <w:i/>
          <w:color w:val="231F20"/>
          <w:sz w:val="20"/>
        </w:rPr>
        <w:t>We have incurred significant net losses in each period since inception, and we expect to continue to incur significant net losses for the foreseeable future</w:t>
      </w:r>
      <w:r>
        <w:rPr>
          <w:rFonts w:ascii="Times New Roman" w:hAnsi="Times New Roman"/>
          <w:b/>
          <w:i/>
          <w:color w:val="000000"/>
          <w:sz w:val="20"/>
        </w:rPr>
        <w:t>.</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231F20"/>
          <w:sz w:val="20"/>
        </w:rPr>
        <w:t xml:space="preserve">We have incurred significant net losses in each reporting period since inception, have not generated any revenue from the sale of products, and have funded our operations primarily from the sale and issuance of equity securities and convertible debt. Our net losses were $30.5 million and $59.5 million for six months ended June 30, 2026 and the year ended December 31, 2025, respectively. As of June 30, 2026, we had an accumulated deficit of $244.7 million. </w:t>
      </w:r>
      <w:r>
        <w:rPr>
          <w:rFonts w:ascii="Times New Roman" w:hAnsi="Times New Roman"/>
          <w:color w:val="000000"/>
          <w:sz w:val="20"/>
        </w:rPr>
        <w:t>We have no products approved for sale. As a result, we expect that it will be many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to discover, develop and market additional product candidates.</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if any. Our prior losses and expected future losses have had and will continue to have an adverse effect on our working capital, our ability to fund the development of our product candidates, our ability to achieve and maintain profitability and the performance of our stock.</w:t>
      </w:r>
    </w:p>
    <w:p>
      <w:pPr>
        <w:pStyle w:val="TextBody"/>
        <w:bidi w:val="0"/>
        <w:spacing w:before="120" w:after="283"/>
        <w:jc w:val="left"/>
        <w:rPr>
          <w:rFonts w:ascii="Calibri" w:hAnsi="Calibri"/>
          <w:sz w:val="20"/>
        </w:rPr>
      </w:pPr>
      <w:r>
        <w:rPr>
          <w:rFonts w:ascii="Times New Roman" w:hAnsi="Times New Roman"/>
          <w:b/>
          <w:i/>
          <w:color w:val="231F20"/>
          <w:sz w:val="20"/>
        </w:rPr>
        <w:t>We have never generated revenue from product sales and may never achieve or maintain profitability</w:t>
      </w:r>
      <w:r>
        <w:rPr>
          <w:rFonts w:ascii="Times New Roman" w:hAnsi="Times New Roman"/>
          <w:b/>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generated any revenue from commercial product sales. 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manufacturing, marketing, and selling those products that are approved and satisfying any post-marketing requirements. We do not anticipate generating any revenue from product sales for many years. Our ability to generate revenue and achieve profitability depends significantly on our ability to achieve several objectives, including: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successful and timely initiation and completion of preclinical and clinical development of OKI-345, OKI-355, our research programs and any other future programs;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establishing and maintaining relationships with contract research organizations (or “CROs”) and clinical sites for the clinical development of OKI-345, OKI-355 and any other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timely receipt of marketing approvals from applicable regulatory authorities for any product candidates for which we successfully complete clinical development;</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developing an efficient and scalable manufacturing process for our product candidates, including obtaining finished products that are appropriately packaged for sale;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successful commercial launch following any marketing approval, including the development of a commercial infrastructure, whether in-house or with one or more collaborators;</w:t>
            </w:r>
          </w:p>
        </w:tc>
      </w:tr>
    </w:tbl>
    <w:tbl>
      <w:tblPr>
        <w:tblW w:w="8547" w:type="dxa"/>
        <w:jc w:val="left"/>
        <w:tblInd w:w="0" w:type="dxa"/>
        <w:tblLayout w:type="fixed"/>
        <w:tblCellMar>
          <w:top w:w="28" w:type="dxa"/>
          <w:left w:w="28" w:type="dxa"/>
          <w:bottom w:w="28" w:type="dxa"/>
          <w:right w:w="28" w:type="dxa"/>
        </w:tblCellMar>
      </w:tblPr>
      <w:tblGrid>
        <w:gridCol w:w="161"/>
        <w:gridCol w:w="109"/>
        <w:gridCol w:w="146"/>
        <w:gridCol w:w="81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continued acceptable safety profile following any marketing approval of our product candidates;</w:t>
            </w:r>
          </w:p>
        </w:tc>
      </w:tr>
    </w:tbl>
    <w:tbl>
      <w:tblPr>
        <w:tblW w:w="9477" w:type="dxa"/>
        <w:jc w:val="left"/>
        <w:tblInd w:w="0" w:type="dxa"/>
        <w:tblLayout w:type="fixed"/>
        <w:tblCellMar>
          <w:top w:w="28" w:type="dxa"/>
          <w:left w:w="28" w:type="dxa"/>
          <w:bottom w:w="28" w:type="dxa"/>
          <w:right w:w="28" w:type="dxa"/>
        </w:tblCellMar>
      </w:tblPr>
      <w:tblGrid>
        <w:gridCol w:w="161"/>
        <w:gridCol w:w="109"/>
        <w:gridCol w:w="146"/>
        <w:gridCol w:w="90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acceptance of our product candidates by patients, the medical community, and third-party payors;</w:t>
            </w:r>
          </w:p>
        </w:tc>
      </w:tr>
    </w:tbl>
    <w:tbl>
      <w:tblPr>
        <w:tblW w:w="8577" w:type="dxa"/>
        <w:jc w:val="left"/>
        <w:tblInd w:w="0" w:type="dxa"/>
        <w:tblLayout w:type="fixed"/>
        <w:tblCellMar>
          <w:top w:w="28" w:type="dxa"/>
          <w:left w:w="28" w:type="dxa"/>
          <w:bottom w:w="28" w:type="dxa"/>
          <w:right w:w="28" w:type="dxa"/>
        </w:tblCellMar>
      </w:tblPr>
      <w:tblGrid>
        <w:gridCol w:w="161"/>
        <w:gridCol w:w="109"/>
        <w:gridCol w:w="146"/>
        <w:gridCol w:w="81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satisfying any required post-marketing approval commitments to applicable regulatory authorities;</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5712" w:type="dxa"/>
        <w:jc w:val="left"/>
        <w:tblInd w:w="0" w:type="dxa"/>
        <w:tblLayout w:type="fixed"/>
        <w:tblCellMar>
          <w:top w:w="28" w:type="dxa"/>
          <w:left w:w="28" w:type="dxa"/>
          <w:bottom w:w="28" w:type="dxa"/>
          <w:right w:w="28" w:type="dxa"/>
        </w:tblCellMar>
      </w:tblPr>
      <w:tblGrid>
        <w:gridCol w:w="161"/>
        <w:gridCol w:w="109"/>
        <w:gridCol w:w="146"/>
        <w:gridCol w:w="52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identifying, assessing, and developing new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United States and internationally;</w:t>
            </w:r>
          </w:p>
        </w:tc>
      </w:tr>
    </w:tbl>
    <w:tbl>
      <w:tblPr>
        <w:tblW w:w="6432" w:type="dxa"/>
        <w:jc w:val="left"/>
        <w:tblInd w:w="0" w:type="dxa"/>
        <w:tblLayout w:type="fixed"/>
        <w:tblCellMar>
          <w:top w:w="28" w:type="dxa"/>
          <w:left w:w="28" w:type="dxa"/>
          <w:bottom w:w="28" w:type="dxa"/>
          <w:right w:w="28" w:type="dxa"/>
        </w:tblCellMar>
      </w:tblPr>
      <w:tblGrid>
        <w:gridCol w:w="161"/>
        <w:gridCol w:w="109"/>
        <w:gridCol w:w="146"/>
        <w:gridCol w:w="60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defending against third-party interference or infringement claims, if any;</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entering into, on favorable terms, any collaboration, licensing, or other arrangements that may be necessary or desirable to develop, manufacture or commercialize our product candidates;</w:t>
            </w:r>
          </w:p>
        </w:tc>
      </w:tr>
    </w:tbl>
    <w:tbl>
      <w:tblPr>
        <w:tblW w:w="9882" w:type="dxa"/>
        <w:jc w:val="left"/>
        <w:tblInd w:w="0" w:type="dxa"/>
        <w:tblLayout w:type="fixed"/>
        <w:tblCellMar>
          <w:top w:w="28" w:type="dxa"/>
          <w:left w:w="28" w:type="dxa"/>
          <w:bottom w:w="28" w:type="dxa"/>
          <w:right w:w="28" w:type="dxa"/>
        </w:tblCellMar>
      </w:tblPr>
      <w:tblGrid>
        <w:gridCol w:w="161"/>
        <w:gridCol w:w="109"/>
        <w:gridCol w:w="146"/>
        <w:gridCol w:w="94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obtaining and maintaining coverage and adequate reimbursement by third-party payors for our product candidates;</w:t>
            </w:r>
          </w:p>
        </w:tc>
      </w:tr>
    </w:tbl>
    <w:tbl>
      <w:tblPr>
        <w:tblW w:w="7527" w:type="dxa"/>
        <w:jc w:val="left"/>
        <w:tblInd w:w="0" w:type="dxa"/>
        <w:tblLayout w:type="fixed"/>
        <w:tblCellMar>
          <w:top w:w="28" w:type="dxa"/>
          <w:left w:w="28" w:type="dxa"/>
          <w:bottom w:w="28" w:type="dxa"/>
          <w:right w:w="28" w:type="dxa"/>
        </w:tblCellMar>
      </w:tblPr>
      <w:tblGrid>
        <w:gridCol w:w="161"/>
        <w:gridCol w:w="109"/>
        <w:gridCol w:w="146"/>
        <w:gridCol w:w="711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addressing any competing therapies and technological and market developments; and</w:t>
            </w:r>
          </w:p>
        </w:tc>
      </w:tr>
    </w:tbl>
    <w:tbl>
      <w:tblPr>
        <w:tblW w:w="4767" w:type="dxa"/>
        <w:jc w:val="left"/>
        <w:tblInd w:w="0" w:type="dxa"/>
        <w:tblLayout w:type="fixed"/>
        <w:tblCellMar>
          <w:top w:w="28" w:type="dxa"/>
          <w:left w:w="28" w:type="dxa"/>
          <w:bottom w:w="28" w:type="dxa"/>
          <w:right w:w="28" w:type="dxa"/>
        </w:tblCellMar>
      </w:tblPr>
      <w:tblGrid>
        <w:gridCol w:w="161"/>
        <w:gridCol w:w="109"/>
        <w:gridCol w:w="146"/>
        <w:gridCol w:w="43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attracting, hiring, and retaining qualified personnel.</w:t>
            </w:r>
          </w:p>
        </w:tc>
      </w:tr>
    </w:tbl>
    <w:p>
      <w:pPr>
        <w:pStyle w:val="TextBody"/>
        <w:bidi w:val="0"/>
        <w:spacing w:before="240" w:after="283"/>
        <w:jc w:val="left"/>
        <w:rPr>
          <w:rFonts w:ascii="Calibri" w:hAnsi="Calibri"/>
          <w:sz w:val="20"/>
        </w:rPr>
      </w:pPr>
      <w:r>
        <w:rPr>
          <w:rFonts w:ascii="Times New Roman" w:hAnsi="Times New Roman"/>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changes in the manufacturing process, suppliers, or facilities will require further comparability analysis and approval by the U.S. Food and Drug Administration (the “FDA”) before implementation, which could delay our clinical trials and product candidate development, and could require additional clinical trials, including bridging studies, to demonstrate consistent and continued safety and efficacy.</w:t>
      </w:r>
    </w:p>
    <w:p>
      <w:pPr>
        <w:pStyle w:val="TextBody"/>
        <w:bidi w:val="0"/>
        <w:spacing w:before="120" w:after="283"/>
        <w:jc w:val="left"/>
        <w:rPr>
          <w:rFonts w:ascii="Calibri" w:hAnsi="Calibri"/>
          <w:sz w:val="20"/>
        </w:rPr>
      </w:pPr>
      <w:r>
        <w:rPr>
          <w:rFonts w:ascii="Times New Roman" w:hAnsi="Times New Roman"/>
          <w:color w:val="000000"/>
          <w:sz w:val="20"/>
        </w:rPr>
        <w:t>We have not previously submitted an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candidate. We cannot be certain that our current or future product candidates will be successful in clinical trials or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receive regulatory approval and have commercial rights, the availability of competitive therapies and whether there are sufficient levels of reimbursement and adoption by physicians</w:t>
      </w:r>
      <w:r>
        <w:rPr>
          <w:rFonts w:ascii="Times New Roman" w:hAnsi="Times New Roman"/>
          <w:color w:val="231F2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funding before we can complete the development of our product candidates. If we are unable to obtain such additional capital on favorable terms, on a timely basis or at all, we would be forced to delay, reduce, or eliminate our product development and clinical programs and may not have the capital required to otherwise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expensive. Our cash, cash equivalents and marketable securities are expected to fund operations into 2029. As we have not generated any revenue from commercial sales to date and do not expect to generate any revenue for several years, if ever, we will need to raise substantial additional capital in order to fund our general corporate activities and to fund our research and development, including our currently planned clinical trials and plans for new clinical trials and product development.</w:t>
      </w:r>
    </w:p>
    <w:p>
      <w:pPr>
        <w:pStyle w:val="TextBody"/>
        <w:bidi w:val="0"/>
        <w:spacing w:before="120" w:after="283"/>
        <w:jc w:val="left"/>
        <w:rPr>
          <w:rFonts w:ascii="Calibri" w:hAnsi="Calibri"/>
          <w:sz w:val="20"/>
        </w:rPr>
      </w:pPr>
      <w:r>
        <w:rPr>
          <w:rFonts w:ascii="Times New Roman" w:hAnsi="Times New Roman"/>
          <w:color w:val="000000"/>
          <w:sz w:val="20"/>
        </w:rPr>
        <w:t>We may seek to raise additional funds through various potential sources, such as equity and debt financings, or through strategic collaborations and license agreements. We can give no assurances that we will be able to secure such additional sources of funds to support our operations or, if such funds are available, that such additional financing will be sufficient to meet our needs. Moreover, to the extent that we raise additional funds by issuing equity securities, our stockholders may experience additional significant dilution and new investors could gain</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rights, preferences and privileges senior to the holders of common stock. For example, pursuant to the 2026 Private Placement, we issued and sold 26,713,638 shares of our Common Stock and pre-funded warrants to purchase 9,430,957 shares of our Common Stock, which resulted, and may continue to result, in a significant increase in the number of our outstanding shares of common stock and substantially diluted the ownership interests of our existing stockholders. Debt financing, if available, may involve restrictive covenants, and equity financing, if available, may include restrictions on our use of proceeds. For example, pursuant to the 2026 PIPE Purchase Agreement, we are unable to use the proceeds from the 2026 Private Placement for research and development of our former lead product candidate, OKI-219, for which we subsequently disclosed that we do not plan to pursue further clinical development independently. We may experience similar or more onerous restrictions on use of proceeds in future financings. To the extent that we raise additional funds through collaboration and licensing arrangements, it may be necessary to relinquish some rights to our technologies or product candidates, or grant licenses on terms that may not be favorable.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our capital constraints, we will need to prioritize spending on our clinical and preclinical programs. If we are unable to raise sufficient funds to support our current and planned operations, we may elect to discontinue certain of our ongoing activities or programs. Our inability to raise additional funds could also prevent us from taking advantage of opportunities to pursue promising new or existing programs in the future.</w:t>
      </w:r>
    </w:p>
    <w:p>
      <w:pPr>
        <w:pStyle w:val="TextBody"/>
        <w:bidi w:val="0"/>
        <w:spacing w:before="120" w:after="283"/>
        <w:jc w:val="left"/>
        <w:rPr>
          <w:rFonts w:ascii="Calibri" w:hAnsi="Calibri"/>
          <w:sz w:val="20"/>
        </w:rPr>
      </w:pPr>
      <w:r>
        <w:rPr>
          <w:rFonts w:ascii="Times New Roman" w:hAnsi="Times New Roman"/>
          <w:color w:val="000000"/>
          <w:sz w:val="20"/>
        </w:rPr>
        <w:t>Our forecasts regarding the sufficiency of our financial resources to support our current and planned operations are forward-looking statements and involve significant risks and uncertainties, and actual results could vary as a result of a number of factors, including the factors discussed elsewhere in this “</w:t>
      </w:r>
      <w:r>
        <w:rPr>
          <w:rFonts w:ascii="Times New Roman" w:hAnsi="Times New Roman"/>
          <w:i/>
          <w:color w:val="000000"/>
          <w:sz w:val="20"/>
        </w:rPr>
        <w:t>Risk Factors</w:t>
      </w:r>
      <w:r>
        <w:rPr>
          <w:rFonts w:ascii="Calibri" w:hAnsi="Calibri"/>
          <w:color w:val="000000"/>
          <w:sz w:val="20"/>
        </w:rPr>
        <w:t xml:space="preserve">” </w:t>
      </w:r>
      <w:r>
        <w:rPr>
          <w:rFonts w:ascii="Times New Roman" w:hAnsi="Times New Roman"/>
          <w:color w:val="000000"/>
          <w:sz w:val="20"/>
        </w:rPr>
        <w:t>section. These estimates are based on assumptions that may prove to be wrong, and we could exhaust our available capital resources sooner than currently expected.</w:t>
      </w:r>
    </w:p>
    <w:p>
      <w:pPr>
        <w:pStyle w:val="TextBody"/>
        <w:bidi w:val="0"/>
        <w:spacing w:before="240" w:after="283"/>
        <w:jc w:val="left"/>
        <w:rPr>
          <w:rFonts w:ascii="Times New Roman" w:hAnsi="Times New Roman"/>
          <w:b/>
          <w:color w:val="231F20"/>
          <w:sz w:val="20"/>
          <w:u w:val="single"/>
        </w:rPr>
      </w:pPr>
      <w:r>
        <w:rPr>
          <w:rFonts w:ascii="Times New Roman" w:hAnsi="Times New Roman"/>
          <w:b/>
          <w:color w:val="231F20"/>
          <w:sz w:val="20"/>
          <w:u w:val="single"/>
        </w:rPr>
        <w:t>Risks Related to Our Development and Commercialization of Our Product Candidates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are very early in our development efforts of OKI-345 or OKI-355. If we are unable to advance OKI-345 or OKI-355 through preclinical and clinical development, obtain regulatory approval and ultimately commercialize one or more of such product candidates, or experience significant delays in doing so, our business will be materially harmed.</w:t>
      </w:r>
    </w:p>
    <w:p>
      <w:pPr>
        <w:pStyle w:val="TextBody"/>
        <w:bidi w:val="0"/>
        <w:spacing w:before="120" w:after="283"/>
        <w:jc w:val="left"/>
        <w:rPr>
          <w:rFonts w:ascii="Calibri" w:hAnsi="Calibri"/>
          <w:sz w:val="20"/>
        </w:rPr>
      </w:pPr>
      <w:r>
        <w:rPr>
          <w:rFonts w:ascii="Times New Roman" w:hAnsi="Times New Roman"/>
          <w:color w:val="000000"/>
          <w:sz w:val="20"/>
        </w:rPr>
        <w:t>We are very early in our development efforts of OKI-345 or OKI-355.</w:t>
      </w:r>
      <w:r>
        <w:rPr>
          <w:rFonts w:ascii="Calibri" w:hAnsi="Calibri"/>
          <w:color w:val="231F20"/>
          <w:sz w:val="20"/>
        </w:rPr>
        <w:t xml:space="preserve"> </w:t>
      </w:r>
      <w:r>
        <w:rPr>
          <w:rFonts w:ascii="Times New Roman" w:hAnsi="Times New Roman"/>
          <w:color w:val="000000"/>
          <w:sz w:val="20"/>
        </w:rPr>
        <w:t>We plan to submit an IND application to the FDA for each of OKI-345 and OKI-355 in the first half of 2027. If we do not successfully complete preclinical testing of OKI-345 or OKI-355 and initiate and complete our planned clinical trials of such product candidates in a timely manner, or fail to achieve favorable results from the trials, we may experience significant delays or other issues in advancing our programs. We will be required to demonstrate thorough, adequate, and well controlled clinical trials that our product candidates are safe and effective, with a favorable benefit-risk profile, for use in its target indication before we can seek regulatory approvals for its commercial sale. Our initial clinical trials will begin with relatively small cohorts before expanding in size in subsequent cohorts</w:t>
      </w:r>
      <w:r>
        <w:rPr>
          <w:rFonts w:ascii="Times New Roman" w:hAnsi="Times New Roman"/>
          <w:color w:val="231F20"/>
          <w:sz w:val="20"/>
        </w:rPr>
        <w:t xml:space="preserve">. If </w:t>
      </w:r>
      <w:r>
        <w:rPr>
          <w:rFonts w:ascii="Times New Roman" w:hAnsi="Times New Roman"/>
          <w:color w:val="000000"/>
          <w:sz w:val="20"/>
        </w:rPr>
        <w:t>safety issues arise in an early cohort, we may be delayed or prevented from subsequently expanding into larger trial cohorts. We are not permitted to market or promote any product candidate before we receive marketing approval from the FDA, European Medicines Agency (“EMA”) or any comparable foreign regulatory authorities, and we may never receive such marketing approvals.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have limited resources and are currently focusing our efforts on advancing OKI-345 or OKI-355 and our research programs. As a result, we may fail to capitalize on programs, product candidates or indications that may be more profitable or for which there is a greater likelihood of success.</w:t>
      </w:r>
    </w:p>
    <w:p>
      <w:pPr>
        <w:pStyle w:val="TextBody"/>
        <w:bidi w:val="0"/>
        <w:spacing w:before="120" w:after="283"/>
        <w:jc w:val="left"/>
        <w:rPr>
          <w:rFonts w:ascii="Calibri" w:hAnsi="Calibri"/>
          <w:sz w:val="20"/>
        </w:rPr>
      </w:pPr>
      <w:r>
        <w:rPr>
          <w:rFonts w:ascii="Times New Roman" w:hAnsi="Times New Roman"/>
          <w:color w:val="000000"/>
          <w:sz w:val="20"/>
        </w:rPr>
        <w:t>We are currently focusing our resources and efforts on advancing OKI-345 or OKI-355 and our research programs. Because we have limited financial and managerial resources, we must focus on a limited number of product candidates and research programs and on specific indications. As a result, we may forgo or delay pursuit of opportunities for other indications or with other product candidates that may have greater commercial potential. For example, following our 2026 Private Placement, we no longer plan to pursue further clinical development of OKI-219, our former lead product candidate, independently at this time. Our resource allocation decisions may cause us to fail to capitalize on viable commercial products or profitable market opportunities. Our spending on current and future research and development activities for OKI-345, OKI-355 and our research programs may not yield any commercially viable products. If we do not accurately evaluate the commercial potential or target markets for OKI-345, OKI-355 and our research programs, or the product candidates we are currently developing in these programs, we may relinquish valuable rights to our product candidates or programs through collaboration, licensing or other</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strategic arrangements in cases in which it would have been more advantageous for us to retain sole development and commercialization rights to such product candidate or program</w:t>
      </w:r>
      <w:r>
        <w:rPr>
          <w:rFonts w:ascii="Times New Roman" w:hAnsi="Times New Roman"/>
          <w:color w:val="231F20"/>
          <w:sz w:val="20"/>
        </w:rPr>
        <w:t>.</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If clinical trials of our product candidates fail to demonstrate safety and efficacy to the satisfaction of regulatory authorities or do not otherwise produce positive results, we would incur additional costs or experience delays in completing, or ultimately be unable to complete, the development and commercialization of our product candidates.</w:t>
      </w:r>
    </w:p>
    <w:p>
      <w:pPr>
        <w:pStyle w:val="TextBody"/>
        <w:bidi w:val="0"/>
        <w:jc w:val="left"/>
        <w:rPr>
          <w:rFonts w:ascii="Calibri" w:hAnsi="Calibri"/>
          <w:sz w:val="20"/>
        </w:rPr>
      </w:pPr>
      <w:r>
        <w:rPr>
          <w:rFonts w:ascii="Times New Roman" w:hAnsi="Times New Roman"/>
          <w:color w:val="000000"/>
          <w:sz w:val="20"/>
        </w:rPr>
        <w:t>Before obtaining marketing approval from regulatory authorities for the sale of our product candidates, we must conduct preclinical studies in animals and extensive clinical trials in humans to demonstrate the safety and efficacy of the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We do not know whether the clinical trials we may conduct will demonstrate adequate efficacy and safety to result in regulatory approval to market any of our product candidates in any jurisdiction. Our product candidates may fail to demonstrate efficacy in humans, and particularly across tumor types. A product candidate may fail for safety or efficacy reasons at any stage of the testing process. A major risk we face is the possibility that none of our product candidates under development will successfully gain market approval from the FDA, EMA or other comparable foreign regulatory authorities, resulting in our being unable to derive any commercial revenue from them after investing significant amounts of capital in their development</w:t>
      </w:r>
      <w:r>
        <w:rPr>
          <w:rFonts w:ascii="Times New Roman" w:hAnsi="Times New Roman"/>
          <w:color w:val="231F20"/>
          <w:sz w:val="20"/>
        </w:rPr>
        <w:t>.</w:t>
      </w:r>
    </w:p>
    <w:p>
      <w:pPr>
        <w:pStyle w:val="TextBody"/>
        <w:bidi w:val="0"/>
        <w:spacing w:before="120" w:after="283"/>
        <w:jc w:val="left"/>
        <w:rPr>
          <w:rFonts w:ascii="Calibri" w:hAnsi="Calibri"/>
          <w:sz w:val="20"/>
        </w:rPr>
      </w:pPr>
      <w:r>
        <w:rPr>
          <w:rFonts w:ascii="Times New Roman" w:hAnsi="Times New Roman"/>
          <w:color w:val="000000"/>
          <w:sz w:val="20"/>
        </w:rPr>
        <w:t>If the results of our ongoing or future preclinical studies and future clinical trials are inconclusive with respect to the safety and efficacy of our product candidates, if our trials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w:t>
      </w:r>
      <w:r>
        <w:rPr>
          <w:rFonts w:ascii="Calibri" w:hAnsi="Calibri"/>
          <w:color w:val="231F20"/>
          <w:sz w:val="20"/>
        </w:rPr>
        <w:t xml:space="preserve"> </w:t>
      </w:r>
      <w:r>
        <w:rPr>
          <w:rFonts w:ascii="Times New Roman" w:hAnsi="Times New Roman"/>
          <w:color w:val="231F20"/>
          <w:sz w:val="20"/>
        </w:rPr>
        <w:t>trial procedures set forth in protocols, differences in the size and type of the patient populations, changes in and adherence to the clinical trial protocols and the rate of dropout among clinical trial participants.</w:t>
      </w:r>
    </w:p>
    <w:p>
      <w:pPr>
        <w:pStyle w:val="TextBody"/>
        <w:bidi w:val="0"/>
        <w:spacing w:before="120" w:after="283"/>
        <w:jc w:val="left"/>
        <w:rPr>
          <w:rFonts w:ascii="Calibri" w:hAnsi="Calibri"/>
          <w:sz w:val="20"/>
        </w:rPr>
      </w:pPr>
      <w:r>
        <w:rPr>
          <w:rFonts w:ascii="Times New Roman" w:hAnsi="Times New Roman"/>
          <w:color w:val="000000"/>
          <w:sz w:val="20"/>
        </w:rPr>
        <w:t>Results of our clinical trials could reveal a high and unacceptable severity and prevalence of side effects or adverse events. In such an event, our trials could be suspended or terminated and the FDA, EMA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w:t>
      </w:r>
      <w:r>
        <w:rPr>
          <w:rFonts w:ascii="Times New Roman" w:hAnsi="Times New Roman"/>
          <w:color w:val="231F20"/>
          <w:sz w:val="20"/>
        </w:rPr>
        <w:t>.</w:t>
      </w:r>
    </w:p>
    <w:p>
      <w:pPr>
        <w:pStyle w:val="TextBody"/>
        <w:bidi w:val="0"/>
        <w:spacing w:before="120" w:after="283"/>
        <w:jc w:val="left"/>
        <w:rPr>
          <w:rFonts w:ascii="Calibri" w:hAnsi="Calibri"/>
          <w:sz w:val="20"/>
        </w:rPr>
      </w:pPr>
      <w:r>
        <w:rPr>
          <w:rFonts w:ascii="Times New Roman" w:hAnsi="Times New Roman"/>
          <w:color w:val="000000"/>
          <w:sz w:val="20"/>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indications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r>
        <w:rPr>
          <w:rFonts w:ascii="Times New Roman" w:hAnsi="Times New Roman"/>
          <w:color w:val="231F20"/>
          <w:sz w:val="20"/>
        </w:rPr>
        <w:t>.</w:t>
      </w:r>
    </w:p>
    <w:p>
      <w:pPr>
        <w:pStyle w:val="TextBody"/>
        <w:bidi w:val="0"/>
        <w:spacing w:before="120" w:after="283"/>
        <w:jc w:val="left"/>
        <w:rPr>
          <w:rFonts w:ascii="Calibri" w:hAnsi="Calibri"/>
          <w:sz w:val="20"/>
        </w:rPr>
      </w:pPr>
      <w:r>
        <w:rPr>
          <w:rFonts w:ascii="Times New Roman" w:hAnsi="Times New Roman"/>
          <w:b/>
          <w:i/>
          <w:color w:val="000000"/>
          <w:sz w:val="20"/>
        </w:rPr>
        <w:t>The regulatory approval processes of the FDA, EMA and other comparable foreign regulatory authorities are lengthy, time-consuming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231F20"/>
          <w:sz w:val="20"/>
        </w:rPr>
        <w:t>.</w:t>
      </w:r>
    </w:p>
    <w:p>
      <w:pPr>
        <w:pStyle w:val="TextBody"/>
        <w:bidi w:val="0"/>
        <w:spacing w:before="120" w:after="283"/>
        <w:jc w:val="left"/>
        <w:rPr>
          <w:rFonts w:ascii="Calibri" w:hAnsi="Calibri"/>
          <w:sz w:val="20"/>
        </w:rPr>
      </w:pPr>
      <w:r>
        <w:rPr>
          <w:rFonts w:ascii="Times New Roman" w:hAnsi="Times New Roman"/>
          <w:color w:val="000000"/>
          <w:sz w:val="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w:t>
      </w:r>
      <w:r>
        <w:rPr>
          <w:rFonts w:ascii="Times New Roman" w:hAnsi="Times New Roman"/>
          <w:color w:val="231F20"/>
          <w:sz w:val="20"/>
        </w:rPr>
        <w:t>.</w:t>
      </w:r>
    </w:p>
    <w:p>
      <w:pPr>
        <w:pStyle w:val="TextBody"/>
        <w:bidi w:val="0"/>
        <w:spacing w:before="120" w:after="283"/>
        <w:jc w:val="left"/>
        <w:rPr>
          <w:rFonts w:ascii="Calibri" w:hAnsi="Calibri"/>
          <w:sz w:val="20"/>
        </w:rPr>
      </w:pPr>
      <w:r>
        <w:rPr>
          <w:rFonts w:ascii="Times New Roman" w:hAnsi="Times New Roman"/>
          <w:color w:val="000000"/>
          <w:sz w:val="20"/>
        </w:rPr>
        <w:t>Obtaining approval by the FDA, EMA and other comparable foreign regulatory authorities is unpredictable, typically takes many years following the commencement of clinical trials and depends upon numerous factors,</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originally requested or may impose other prescribing limitations or warnings that limit the product candidate’s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r>
        <w:rPr>
          <w:rFonts w:ascii="Times New Roman" w:hAnsi="Times New Roman"/>
          <w:color w:val="231F2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a product candidate’s risk-benefit ratio for its proposed indication is acceptable;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FDA, EMA or other comparable foreign regulatory authorities may fail to approve the manufacturing processes, test procedures and specifications or facilities of third-party manufacturers with which we contract for clinical and commercial supplies;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FDA, EMA or other comparable regulatory authorities may fail to approve companion diagnostic tests required for our product candidates;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tc>
      </w:tr>
    </w:tbl>
    <w:p>
      <w:pPr>
        <w:pStyle w:val="TextBody"/>
        <w:bidi w:val="0"/>
        <w:spacing w:before="120" w:after="283"/>
        <w:jc w:val="left"/>
        <w:rPr>
          <w:rFonts w:ascii="Calibri" w:hAnsi="Calibri"/>
          <w:sz w:val="20"/>
        </w:rPr>
      </w:pPr>
      <w:r>
        <w:rPr>
          <w:rFonts w:ascii="Times New Roman" w:hAnsi="Times New Roman"/>
          <w:color w:val="000000"/>
          <w:sz w:val="20"/>
        </w:rPr>
        <w:t>In addition, even if clinical trials are successfully completed, we cannot guarantee that the FDA or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conduct additional trials in support of potential approval of our product candidates. Even if we secure regulatory approval for any of our product candidates, the terms of such approval may limit the scope and use of the product candidate, which may also limit its commercial potential</w:t>
      </w:r>
      <w:r>
        <w:rPr>
          <w:rFonts w:ascii="Times New Roman" w:hAnsi="Times New Roman"/>
          <w:color w:val="231F2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tbl>
      <w:tblPr>
        <w:tblW w:w="2412" w:type="dxa"/>
        <w:jc w:val="left"/>
        <w:tblInd w:w="0" w:type="dxa"/>
        <w:tblLayout w:type="fixed"/>
        <w:tblCellMar>
          <w:top w:w="28" w:type="dxa"/>
          <w:left w:w="28" w:type="dxa"/>
          <w:bottom w:w="28" w:type="dxa"/>
          <w:right w:w="28" w:type="dxa"/>
        </w:tblCellMar>
      </w:tblPr>
      <w:tblGrid>
        <w:gridCol w:w="161"/>
        <w:gridCol w:w="109"/>
        <w:gridCol w:w="146"/>
        <w:gridCol w:w="19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incur unplanned costs;</w:t>
            </w:r>
          </w:p>
        </w:tc>
      </w:tr>
    </w:tbl>
    <w:tbl>
      <w:tblPr>
        <w:tblW w:w="9552" w:type="dxa"/>
        <w:jc w:val="left"/>
        <w:tblInd w:w="0" w:type="dxa"/>
        <w:tblLayout w:type="fixed"/>
        <w:tblCellMar>
          <w:top w:w="28" w:type="dxa"/>
          <w:left w:w="28" w:type="dxa"/>
          <w:bottom w:w="28" w:type="dxa"/>
          <w:right w:w="28" w:type="dxa"/>
        </w:tblCellMar>
      </w:tblPr>
      <w:tblGrid>
        <w:gridCol w:w="161"/>
        <w:gridCol w:w="109"/>
        <w:gridCol w:w="146"/>
        <w:gridCol w:w="913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 or not obtain marketing approval at all;</w:t>
            </w:r>
          </w:p>
        </w:tc>
      </w:tr>
    </w:tbl>
    <w:tbl>
      <w:tblPr>
        <w:tblW w:w="5667" w:type="dxa"/>
        <w:jc w:val="left"/>
        <w:tblInd w:w="0" w:type="dxa"/>
        <w:tblLayout w:type="fixed"/>
        <w:tblCellMar>
          <w:top w:w="28" w:type="dxa"/>
          <w:left w:w="28" w:type="dxa"/>
          <w:bottom w:w="28" w:type="dxa"/>
          <w:right w:w="28" w:type="dxa"/>
        </w:tblCellMar>
      </w:tblPr>
      <w:tblGrid>
        <w:gridCol w:w="161"/>
        <w:gridCol w:w="109"/>
        <w:gridCol w:w="146"/>
        <w:gridCol w:w="52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obtain marketing approval in some countries and not in others;</w:t>
            </w:r>
          </w:p>
        </w:tc>
      </w:tr>
    </w:tbl>
    <w:tbl>
      <w:tblPr>
        <w:tblW w:w="9357" w:type="dxa"/>
        <w:jc w:val="left"/>
        <w:tblInd w:w="0" w:type="dxa"/>
        <w:tblLayout w:type="fixed"/>
        <w:tblCellMar>
          <w:top w:w="28" w:type="dxa"/>
          <w:left w:w="28" w:type="dxa"/>
          <w:bottom w:w="28" w:type="dxa"/>
          <w:right w:w="28" w:type="dxa"/>
        </w:tblCellMar>
      </w:tblPr>
      <w:tblGrid>
        <w:gridCol w:w="161"/>
        <w:gridCol w:w="109"/>
        <w:gridCol w:w="146"/>
        <w:gridCol w:w="894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obtain marketing approval for indications or patient populations that are not as broad as intended or desired;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obtain marketing approval with labeling that includes significant use or distribution restrictions or safety warnings, including boxed warnings;</w:t>
            </w:r>
          </w:p>
        </w:tc>
      </w:tr>
    </w:tbl>
    <w:tbl>
      <w:tblPr>
        <w:tblW w:w="5517" w:type="dxa"/>
        <w:jc w:val="left"/>
        <w:tblInd w:w="0" w:type="dxa"/>
        <w:tblLayout w:type="fixed"/>
        <w:tblCellMar>
          <w:top w:w="28" w:type="dxa"/>
          <w:left w:w="28" w:type="dxa"/>
          <w:bottom w:w="28" w:type="dxa"/>
          <w:right w:w="28" w:type="dxa"/>
        </w:tblCellMar>
      </w:tblPr>
      <w:tblGrid>
        <w:gridCol w:w="161"/>
        <w:gridCol w:w="109"/>
        <w:gridCol w:w="146"/>
        <w:gridCol w:w="51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subject to additional post-marketing testing requirements;</w:t>
            </w:r>
          </w:p>
        </w:tc>
      </w:tr>
    </w:tbl>
    <w:tbl>
      <w:tblPr>
        <w:tblW w:w="5712" w:type="dxa"/>
        <w:jc w:val="left"/>
        <w:tblInd w:w="0" w:type="dxa"/>
        <w:tblLayout w:type="fixed"/>
        <w:tblCellMar>
          <w:top w:w="28" w:type="dxa"/>
          <w:left w:w="28" w:type="dxa"/>
          <w:bottom w:w="28" w:type="dxa"/>
          <w:right w:w="28" w:type="dxa"/>
        </w:tblCellMar>
      </w:tblPr>
      <w:tblGrid>
        <w:gridCol w:w="161"/>
        <w:gridCol w:w="109"/>
        <w:gridCol w:w="146"/>
        <w:gridCol w:w="52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subject to changes in the way the product is administered; or</w:t>
            </w:r>
          </w:p>
        </w:tc>
      </w:tr>
    </w:tbl>
    <w:tbl>
      <w:tblPr>
        <w:tblW w:w="6882" w:type="dxa"/>
        <w:jc w:val="left"/>
        <w:tblInd w:w="0" w:type="dxa"/>
        <w:tblLayout w:type="fixed"/>
        <w:tblCellMar>
          <w:top w:w="28" w:type="dxa"/>
          <w:left w:w="28" w:type="dxa"/>
          <w:bottom w:w="28" w:type="dxa"/>
          <w:right w:w="28" w:type="dxa"/>
        </w:tblCellMar>
      </w:tblPr>
      <w:tblGrid>
        <w:gridCol w:w="161"/>
        <w:gridCol w:w="109"/>
        <w:gridCol w:w="146"/>
        <w:gridCol w:w="64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product.</w:t>
            </w:r>
          </w:p>
        </w:tc>
      </w:tr>
    </w:tbl>
    <w:p>
      <w:pPr>
        <w:pStyle w:val="TextBody"/>
        <w:bidi w:val="0"/>
        <w:spacing w:before="120" w:after="283"/>
        <w:jc w:val="left"/>
        <w:rPr>
          <w:rFonts w:ascii="Calibri" w:hAnsi="Calibri"/>
          <w:sz w:val="20"/>
        </w:rPr>
      </w:pPr>
      <w:r>
        <w:rPr>
          <w:rFonts w:ascii="Times New Roman" w:hAnsi="Times New Roman"/>
          <w:color w:val="000000"/>
          <w:sz w:val="20"/>
        </w:rPr>
        <w:t>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r>
        <w:rPr>
          <w:rFonts w:ascii="Times New Roman" w:hAnsi="Times New Roman"/>
          <w:color w:val="231F20"/>
          <w:sz w:val="20"/>
        </w:rPr>
        <w:t>.</w:t>
      </w:r>
    </w:p>
    <w:p>
      <w:pPr>
        <w:pStyle w:val="TextBody"/>
        <w:bidi w:val="0"/>
        <w:spacing w:before="120" w:after="283"/>
        <w:jc w:val="left"/>
        <w:rPr>
          <w:rFonts w:ascii="Calibri" w:hAnsi="Calibri"/>
          <w:sz w:val="20"/>
        </w:rPr>
      </w:pPr>
      <w:r>
        <w:rPr>
          <w:rFonts w:ascii="Times New Roman" w:hAnsi="Times New Roman"/>
          <w:color w:val="000000"/>
          <w:sz w:val="20"/>
        </w:rPr>
        <w:t xml:space="preserve">In addition, the FDA and other regulatory authorities may change their policies, issue additional regulations or revise existing regulations, or take other actions, such as those implemented by the Department of Government Efficiency, which may prevent or delay approval of our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view of the overturning of the </w:t>
      </w:r>
      <w:r>
        <w:rPr>
          <w:rFonts w:ascii="Times New Roman" w:hAnsi="Times New Roman"/>
          <w:i/>
          <w:color w:val="000000"/>
          <w:sz w:val="20"/>
        </w:rPr>
        <w:t xml:space="preserve">Chevron </w:t>
      </w:r>
      <w:r>
        <w:rPr>
          <w:rFonts w:ascii="Times New Roman" w:hAnsi="Times New Roman"/>
          <w:color w:val="000000"/>
          <w:sz w:val="20"/>
        </w:rPr>
        <w:t xml:space="preserve">doctrine in </w:t>
      </w:r>
      <w:r>
        <w:rPr>
          <w:rFonts w:ascii="Times New Roman" w:hAnsi="Times New Roman"/>
          <w:i/>
          <w:color w:val="000000"/>
          <w:sz w:val="20"/>
        </w:rPr>
        <w:t>Loper Bright Enterprises v. Raimondo</w:t>
      </w:r>
      <w:r>
        <w:rPr>
          <w:rFonts w:ascii="Times New Roman" w:hAnsi="Times New Roman"/>
          <w:color w:val="000000"/>
          <w:sz w:val="20"/>
        </w:rPr>
        <w:t>, this Supreme Court decision may invite various stakeholders to bring lawsuits against the FDA to challenge longstanding decisions and policies. Additionally, changes in the leadership of the FDA and other federal agencies under the current U.S. presidential administration may also lead to new policies and changes in the regulations and operations of the FDA, which may impact our clinical development plans.</w:t>
      </w:r>
    </w:p>
    <w:p>
      <w:pPr>
        <w:pStyle w:val="TextBody"/>
        <w:bidi w:val="0"/>
        <w:spacing w:before="120" w:after="283"/>
        <w:jc w:val="left"/>
        <w:rPr>
          <w:rFonts w:ascii="Calibri" w:hAnsi="Calibri"/>
          <w:sz w:val="20"/>
        </w:rPr>
      </w:pPr>
      <w:r>
        <w:rPr>
          <w:rFonts w:ascii="Times New Roman" w:hAnsi="Times New Roman"/>
          <w:color w:val="000000"/>
          <w:sz w:val="20"/>
        </w:rPr>
        <w:t>Further, under the new leadership at the HHS under the current administration, agency reorganization, mass layoffs due to the reduction in force initiative, and other measures implemented by the Department of Government Efficiency may impact the normal operations of FDA as well as other federal agencies. FDA may lack adequate staff and resources to meet current review, approval, and inspection schedules, which could delay our anticipated timelines. In January 2025, an executive order entitled “Unleashing Prosperity Through Deregulation”, was issued calling for at least ten existing regulations to be repealed whenever an executive department or agency publicly proposes for notice and comment or otherwise promulgates a new regulation. Elimination of agency guidance documents could interfere with FDA programs or lead to more Complete Response Letters or refusals to approve products.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The FDA has also increased its scrutiny of foreign drug manufacturing facilities and other contractors based in China, especially with respect to the transfer of biological materials, genetic data, and other sensitive data of American patients to parties located in China. FDA’s “real-time” release of newly issued Complete Response Letters associated with withdrawn or abandoned applications, if applicable to any of our product candidates, can materially impact our competitive advantage and intellectual property. There is significant uncertainty in the industry around how federal agencies like the FDA will change in</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coming years under the current administration. It is unclear how our industry and our clinical programs will be affected by policies and regulations implemented under the current administration and FDA commissioner, or other executive orders. There is significant uncertainty in the industry regarding the ways in which federal agencies like the FDA will change in the coming years under the current administration. To the extent the agency reorganization and other agency changes lead to disruptions in FDA’s operations, our correspondence and regulatory review processes with FDA may be materially delayed.</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Calibri" w:hAnsi="Calibri"/>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pricing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the pricing of a prescription drug candidate is subject to regulatory approval before it can be approved for sale in that jurisdiction. In some cases, the price that we intend to charge for our products is also subject to approval</w:t>
      </w:r>
      <w:r>
        <w:rPr>
          <w:rFonts w:ascii="Times New Roman" w:hAnsi="Times New Roman"/>
          <w:color w:val="231F20"/>
          <w:sz w:val="20"/>
        </w:rPr>
        <w:t>.</w:t>
      </w:r>
      <w:r>
        <w:rPr>
          <w:rFonts w:ascii="Calibri" w:hAnsi="Calibri"/>
          <w:color w:val="231F20"/>
          <w:sz w:val="20"/>
        </w:rPr>
        <w:t xml:space="preserve"> </w:t>
      </w:r>
    </w:p>
    <w:p>
      <w:pPr>
        <w:pStyle w:val="TextBody"/>
        <w:bidi w:val="0"/>
        <w:spacing w:before="120" w:after="283"/>
        <w:jc w:val="left"/>
        <w:rPr>
          <w:rFonts w:ascii="Calibri" w:hAnsi="Calibri"/>
          <w:sz w:val="20"/>
        </w:rPr>
      </w:pPr>
      <w:r>
        <w:rPr>
          <w:rFonts w:ascii="Times New Roman" w:hAnsi="Times New Roman"/>
          <w:color w:val="231F20"/>
          <w:sz w:val="20"/>
        </w:rPr>
        <w:t>W</w:t>
      </w:r>
      <w:r>
        <w:rPr>
          <w:rFonts w:ascii="Times New Roman" w:hAnsi="Times New Roman"/>
          <w:color w:val="000000"/>
          <w:sz w:val="20"/>
        </w:rPr>
        <w:t>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fails to comply with the regulatory requirements in international markets or fails to receive applicable marketing approvals, our target market will be reduced and our ability to realize the full market potential of our potential product candidates will be harmed</w:t>
      </w:r>
      <w:r>
        <w:rPr>
          <w:rFonts w:ascii="Times New Roman" w:hAnsi="Times New Roman"/>
          <w:color w:val="231F2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or retention of subjects in clinical trials,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Trials may be subject to delays as a result of patient withdrawal or patient enrollment taking longer than anticipated. We may not be able to initiate or continue clinical trials for our product candidates if we are unable to locate and enroll a sufficient number of subjects to participate to such trials’ conclusion as required by the FDA, EMA or other comparable foreign regulatory authorities. Patient enrollment is a significant factor in the timing of clinical trials. Difficulties we experience relating to enrollment in our planned clinical trials, or complications in such clinical trials, could delay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may be affected if our competitors have ongoing clinical trials for product candidates that are under development for the same indications as our product candidates, and subjects who would otherwise be eligible for our clinical trials instead enroll in clinical trials of our competitors’ product candidates. Patient enrollment for any of our future clinical trials may be affected by other factors, including:</w:t>
      </w:r>
    </w:p>
    <w:tbl>
      <w:tblPr>
        <w:tblW w:w="6867" w:type="dxa"/>
        <w:jc w:val="left"/>
        <w:tblInd w:w="0" w:type="dxa"/>
        <w:tblLayout w:type="fixed"/>
        <w:tblCellMar>
          <w:top w:w="28" w:type="dxa"/>
          <w:left w:w="28" w:type="dxa"/>
          <w:bottom w:w="28" w:type="dxa"/>
          <w:right w:w="28" w:type="dxa"/>
        </w:tblCellMar>
      </w:tblPr>
      <w:tblGrid>
        <w:gridCol w:w="161"/>
        <w:gridCol w:w="109"/>
        <w:gridCol w:w="146"/>
        <w:gridCol w:w="64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size and nature of the patient population, and process for identifying patients;</w:t>
            </w:r>
          </w:p>
        </w:tc>
      </w:tr>
    </w:tbl>
    <w:tbl>
      <w:tblPr>
        <w:tblW w:w="6372" w:type="dxa"/>
        <w:jc w:val="left"/>
        <w:tblInd w:w="0" w:type="dxa"/>
        <w:tblLayout w:type="fixed"/>
        <w:tblCellMar>
          <w:top w:w="28" w:type="dxa"/>
          <w:left w:w="28" w:type="dxa"/>
          <w:bottom w:w="28" w:type="dxa"/>
          <w:right w:w="28" w:type="dxa"/>
        </w:tblCellMar>
      </w:tblPr>
      <w:tblGrid>
        <w:gridCol w:w="161"/>
        <w:gridCol w:w="109"/>
        <w:gridCol w:w="146"/>
        <w:gridCol w:w="59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severity and difficulty of diagnosing the condition under investigation;</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availability and efficacy of approved drugs and other competing therapeutic candidates for the condition under investigation;</w:t>
            </w:r>
          </w:p>
        </w:tc>
      </w:tr>
    </w:tbl>
    <w:tbl>
      <w:tblPr>
        <w:tblW w:w="7572" w:type="dxa"/>
        <w:jc w:val="left"/>
        <w:tblInd w:w="0" w:type="dxa"/>
        <w:tblLayout w:type="fixed"/>
        <w:tblCellMar>
          <w:top w:w="28" w:type="dxa"/>
          <w:left w:w="28" w:type="dxa"/>
          <w:bottom w:w="28" w:type="dxa"/>
          <w:right w:w="28" w:type="dxa"/>
        </w:tblCellMar>
      </w:tblPr>
      <w:tblGrid>
        <w:gridCol w:w="161"/>
        <w:gridCol w:w="109"/>
        <w:gridCol w:w="146"/>
        <w:gridCol w:w="71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eligibility and exclusion criteria for the trial in question as defined in the protocol;</w:t>
            </w:r>
          </w:p>
        </w:tc>
      </w:tr>
    </w:tbl>
    <w:tbl>
      <w:tblPr>
        <w:tblW w:w="8502" w:type="dxa"/>
        <w:jc w:val="left"/>
        <w:tblInd w:w="0" w:type="dxa"/>
        <w:tblLayout w:type="fixed"/>
        <w:tblCellMar>
          <w:top w:w="28" w:type="dxa"/>
          <w:left w:w="28" w:type="dxa"/>
          <w:bottom w:w="28" w:type="dxa"/>
          <w:right w:w="28" w:type="dxa"/>
        </w:tblCellMar>
      </w:tblPr>
      <w:tblGrid>
        <w:gridCol w:w="161"/>
        <w:gridCol w:w="109"/>
        <w:gridCol w:w="146"/>
        <w:gridCol w:w="80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tc>
      </w:tr>
    </w:tbl>
    <w:tbl>
      <w:tblPr>
        <w:tblW w:w="3012" w:type="dxa"/>
        <w:jc w:val="left"/>
        <w:tblInd w:w="0" w:type="dxa"/>
        <w:tblLayout w:type="fixed"/>
        <w:tblCellMar>
          <w:top w:w="28" w:type="dxa"/>
          <w:left w:w="28" w:type="dxa"/>
          <w:bottom w:w="28" w:type="dxa"/>
          <w:right w:w="28" w:type="dxa"/>
        </w:tblCellMar>
      </w:tblPr>
      <w:tblGrid>
        <w:gridCol w:w="161"/>
        <w:gridCol w:w="109"/>
        <w:gridCol w:w="146"/>
        <w:gridCol w:w="25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design of the clinical trial;</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5907" w:type="dxa"/>
        <w:jc w:val="left"/>
        <w:tblInd w:w="0" w:type="dxa"/>
        <w:tblLayout w:type="fixed"/>
        <w:tblCellMar>
          <w:top w:w="28" w:type="dxa"/>
          <w:left w:w="28" w:type="dxa"/>
          <w:bottom w:w="28" w:type="dxa"/>
          <w:right w:w="28" w:type="dxa"/>
        </w:tblCellMar>
      </w:tblPr>
      <w:tblGrid>
        <w:gridCol w:w="161"/>
        <w:gridCol w:w="109"/>
        <w:gridCol w:w="146"/>
        <w:gridCol w:w="54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perceived risks and benefits of the product candidate under study;</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participants’ perceptions as to the potential advantages of the product candidate being studied in relation to other available therapies, including any new products that may be approved for the indications we are investigating;</w:t>
            </w:r>
          </w:p>
        </w:tc>
      </w:tr>
    </w:tbl>
    <w:tbl>
      <w:tblPr>
        <w:tblW w:w="4932" w:type="dxa"/>
        <w:jc w:val="left"/>
        <w:tblInd w:w="0" w:type="dxa"/>
        <w:tblLayout w:type="fixed"/>
        <w:tblCellMar>
          <w:top w:w="28" w:type="dxa"/>
          <w:left w:w="28" w:type="dxa"/>
          <w:bottom w:w="28" w:type="dxa"/>
          <w:right w:w="28" w:type="dxa"/>
        </w:tblCellMar>
      </w:tblPr>
      <w:tblGrid>
        <w:gridCol w:w="161"/>
        <w:gridCol w:w="109"/>
        <w:gridCol w:w="146"/>
        <w:gridCol w:w="45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efforts to facilitate timely enrollment in clinical trials;</w:t>
            </w:r>
          </w:p>
        </w:tc>
      </w:tr>
    </w:tbl>
    <w:tbl>
      <w:tblPr>
        <w:tblW w:w="3747" w:type="dxa"/>
        <w:jc w:val="left"/>
        <w:tblInd w:w="0" w:type="dxa"/>
        <w:tblLayout w:type="fixed"/>
        <w:tblCellMar>
          <w:top w:w="28" w:type="dxa"/>
          <w:left w:w="28" w:type="dxa"/>
          <w:bottom w:w="28" w:type="dxa"/>
          <w:right w:w="28" w:type="dxa"/>
        </w:tblCellMar>
      </w:tblPr>
      <w:tblGrid>
        <w:gridCol w:w="161"/>
        <w:gridCol w:w="109"/>
        <w:gridCol w:w="146"/>
        <w:gridCol w:w="33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 referral practices of doctors;</w:t>
            </w:r>
          </w:p>
        </w:tc>
      </w:tr>
    </w:tbl>
    <w:tbl>
      <w:tblPr>
        <w:tblW w:w="6462" w:type="dxa"/>
        <w:jc w:val="left"/>
        <w:tblInd w:w="0" w:type="dxa"/>
        <w:tblLayout w:type="fixed"/>
        <w:tblCellMar>
          <w:top w:w="28" w:type="dxa"/>
          <w:left w:w="28" w:type="dxa"/>
          <w:bottom w:w="28" w:type="dxa"/>
          <w:right w:w="28" w:type="dxa"/>
        </w:tblCellMar>
      </w:tblPr>
      <w:tblGrid>
        <w:gridCol w:w="161"/>
        <w:gridCol w:w="109"/>
        <w:gridCol w:w="146"/>
        <w:gridCol w:w="60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ability to monitor participants adequately during and after treatment;</w:t>
            </w:r>
          </w:p>
        </w:tc>
      </w:tr>
    </w:tbl>
    <w:tbl>
      <w:tblPr>
        <w:tblW w:w="6762" w:type="dxa"/>
        <w:jc w:val="left"/>
        <w:tblInd w:w="0" w:type="dxa"/>
        <w:tblLayout w:type="fixed"/>
        <w:tblCellMar>
          <w:top w:w="28" w:type="dxa"/>
          <w:left w:w="28" w:type="dxa"/>
          <w:bottom w:w="28" w:type="dxa"/>
          <w:right w:w="28" w:type="dxa"/>
        </w:tblCellMar>
      </w:tblPr>
      <w:tblGrid>
        <w:gridCol w:w="161"/>
        <w:gridCol w:w="109"/>
        <w:gridCol w:w="146"/>
        <w:gridCol w:w="63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proximity and availability of clinical trial sites for prospective trial subjects;</w:t>
            </w:r>
          </w:p>
        </w:tc>
      </w:tr>
    </w:tbl>
    <w:tbl>
      <w:tblPr>
        <w:tblW w:w="6327" w:type="dxa"/>
        <w:jc w:val="left"/>
        <w:tblInd w:w="0" w:type="dxa"/>
        <w:tblLayout w:type="fixed"/>
        <w:tblCellMar>
          <w:top w:w="28" w:type="dxa"/>
          <w:left w:w="28" w:type="dxa"/>
          <w:bottom w:w="28" w:type="dxa"/>
          <w:right w:w="28" w:type="dxa"/>
        </w:tblCellMar>
      </w:tblPr>
      <w:tblGrid>
        <w:gridCol w:w="161"/>
        <w:gridCol w:w="109"/>
        <w:gridCol w:w="146"/>
        <w:gridCol w:w="591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continued enrollment of prospective subjects by clinical trial sites; and</w:t>
            </w:r>
          </w:p>
        </w:tc>
      </w:tr>
    </w:tbl>
    <w:tbl>
      <w:tblPr>
        <w:tblW w:w="7902" w:type="dxa"/>
        <w:jc w:val="left"/>
        <w:tblInd w:w="0" w:type="dxa"/>
        <w:tblLayout w:type="fixed"/>
        <w:tblCellMar>
          <w:top w:w="28" w:type="dxa"/>
          <w:left w:w="28" w:type="dxa"/>
          <w:bottom w:w="28" w:type="dxa"/>
          <w:right w:w="28" w:type="dxa"/>
        </w:tblCellMar>
      </w:tblPr>
      <w:tblGrid>
        <w:gridCol w:w="161"/>
        <w:gridCol w:w="109"/>
        <w:gridCol w:w="146"/>
        <w:gridCol w:w="74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risk that subjects enrolled in clinical trials will drop out of the trials before completion.</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we expect to rely on CROs and clinical trial sites to ensure the proper and timely conduct of our clinical trials, and we will have limited influence over their performance. Even if we are able to enroll a sufficient number of subjects for our clinical trials, we may have difficulty maintaining enrollment of such subjects in our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in our ongoing and planned clinical trials may suffer significant adverse events or other side effects not observed in our preclinical studies or previous clinical trials.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pStyle w:val="TextBody"/>
        <w:bidi w:val="0"/>
        <w:spacing w:before="120" w:after="283"/>
        <w:jc w:val="left"/>
        <w:rPr>
          <w:rFonts w:ascii="Calibri" w:hAnsi="Calibri"/>
          <w:sz w:val="20"/>
        </w:rPr>
      </w:pPr>
      <w:r>
        <w:rPr>
          <w:rFonts w:ascii="Times New Roman" w:hAnsi="Times New Roman"/>
          <w:color w:val="000000"/>
          <w:sz w:val="20"/>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and</w:t>
      </w:r>
      <w:r>
        <w:rPr>
          <w:rFonts w:ascii="Calibri" w:hAnsi="Calibri"/>
          <w:color w:val="000000"/>
          <w:sz w:val="20"/>
        </w:rPr>
        <w:t xml:space="preserve"> </w:t>
      </w:r>
    </w:p>
    <w:p>
      <w:pPr>
        <w:pStyle w:val="TextBody"/>
        <w:bidi w:val="0"/>
        <w:jc w:val="left"/>
        <w:rPr>
          <w:rFonts w:ascii="Calibri" w:hAnsi="Calibri"/>
          <w:sz w:val="20"/>
        </w:rPr>
      </w:pPr>
      <w:r>
        <w:rPr>
          <w:rFonts w:ascii="Times New Roman" w:hAnsi="Times New Roman"/>
          <w:color w:val="000000"/>
          <w:sz w:val="20"/>
        </w:rPr>
        <w:t>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demonstrate with substantial evidence through well 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example, we previously decided to cease developing our former lead product candidate, OK-219, and another product candidate, known as OKI-179, despite promising early data. In addition, much of our preclinical data, including with respect to cellular selectivity, potency and antitumor activity of OKI-345 and OKI-355, as well as preclinical data generated in comparisons of our product candidates to other compounds, was generated internally by us in a limited number of cell lines, assays and animal models, has not been independently verified or generated in head-to-head clinical trials, and may not be reproducible or predictive of results in humans. Preclinical tumor regressions and selectivity or therapeutic-index advantages observed in our models may not translate into clinical efficacy, tolerability or a differentiated safety profile, and any associated comparative or superiority conclusions may not be reproducible in clinical development or accepted by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experience issues in conducting clinical trials that would delay or prevent us from satisfying the applicable requirements of the FDA and other regulatory authorities, including: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rFonts w:ascii="Calibri" w:hAnsi="Calibri"/>
                <w:color w:val="000000"/>
                <w:sz w:val="20"/>
              </w:rPr>
              <w:t> </w:t>
            </w:r>
            <w:r>
              <w:rPr>
                <w:rFonts w:ascii="Times New Roman" w:hAnsi="Times New Roman"/>
                <w:color w:val="000000"/>
                <w:sz w:val="20"/>
              </w:rPr>
              <w:t xml:space="preserve">or </w:t>
            </w:r>
            <w:r>
              <w:rPr>
                <w:rFonts w:ascii="Times New Roman" w:hAnsi="Times New Roman"/>
                <w:i/>
                <w:color w:val="000000"/>
                <w:sz w:val="20"/>
              </w:rPr>
              <w:t>in vitro</w:t>
            </w:r>
            <w:r>
              <w:rPr>
                <w:rFonts w:ascii="Calibri" w:hAnsi="Calibri"/>
                <w:color w:val="000000"/>
                <w:sz w:val="20"/>
              </w:rPr>
              <w:t> </w:t>
            </w:r>
            <w:r>
              <w:rPr>
                <w:rFonts w:ascii="Times New Roman" w:hAnsi="Times New Roman"/>
                <w:color w:val="000000"/>
                <w:sz w:val="20"/>
              </w:rPr>
              <w:t>data to support the initiation of clinical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delays in sufficiently developing, characterizing or controlling a manufacturing process suitable for advanced clinical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delays in reaching agreement with the FDA or other regulatory authorities as to the design or implementation of our clinical trials;</w:t>
            </w:r>
          </w:p>
        </w:tc>
      </w:tr>
    </w:tbl>
    <w:tbl>
      <w:tblPr>
        <w:tblW w:w="5742" w:type="dxa"/>
        <w:jc w:val="left"/>
        <w:tblInd w:w="0" w:type="dxa"/>
        <w:tblLayout w:type="fixed"/>
        <w:tblCellMar>
          <w:top w:w="28" w:type="dxa"/>
          <w:left w:w="28" w:type="dxa"/>
          <w:bottom w:w="28" w:type="dxa"/>
          <w:right w:w="28" w:type="dxa"/>
        </w:tblCellMar>
      </w:tblPr>
      <w:tblGrid>
        <w:gridCol w:w="161"/>
        <w:gridCol w:w="109"/>
        <w:gridCol w:w="146"/>
        <w:gridCol w:w="53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obtaining regulatory authorization to commence a clinical trial;</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terms with clinical trial sites or prospective CROs, the terms of which can be subject to extensive negotiation and may vary significantly among different clinical trial sites;</w:t>
            </w:r>
          </w:p>
        </w:tc>
      </w:tr>
    </w:tbl>
    <w:tbl>
      <w:tblPr>
        <w:tblW w:w="3507" w:type="dxa"/>
        <w:jc w:val="left"/>
        <w:tblInd w:w="0" w:type="dxa"/>
        <w:tblLayout w:type="fixed"/>
        <w:tblCellMar>
          <w:top w:w="28" w:type="dxa"/>
          <w:left w:w="28" w:type="dxa"/>
          <w:bottom w:w="28" w:type="dxa"/>
          <w:right w:w="28" w:type="dxa"/>
        </w:tblCellMar>
      </w:tblPr>
      <w:tblGrid>
        <w:gridCol w:w="161"/>
        <w:gridCol w:w="109"/>
        <w:gridCol w:w="146"/>
        <w:gridCol w:w="30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obtaining approval at each trial site;</w:t>
            </w:r>
          </w:p>
        </w:tc>
      </w:tr>
    </w:tbl>
    <w:tbl>
      <w:tblPr>
        <w:tblW w:w="5307" w:type="dxa"/>
        <w:jc w:val="left"/>
        <w:tblInd w:w="0" w:type="dxa"/>
        <w:tblLayout w:type="fixed"/>
        <w:tblCellMar>
          <w:top w:w="28" w:type="dxa"/>
          <w:left w:w="28" w:type="dxa"/>
          <w:bottom w:w="28" w:type="dxa"/>
          <w:right w:w="28" w:type="dxa"/>
        </w:tblCellMar>
      </w:tblPr>
      <w:tblGrid>
        <w:gridCol w:w="161"/>
        <w:gridCol w:w="109"/>
        <w:gridCol w:w="146"/>
        <w:gridCol w:w="48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recruiting suitable patients to participate in a clinical trial;</w:t>
            </w:r>
          </w:p>
        </w:tc>
      </w:tr>
    </w:tbl>
    <w:tbl>
      <w:tblPr>
        <w:tblW w:w="6912" w:type="dxa"/>
        <w:jc w:val="left"/>
        <w:tblInd w:w="0" w:type="dxa"/>
        <w:tblLayout w:type="fixed"/>
        <w:tblCellMar>
          <w:top w:w="28" w:type="dxa"/>
          <w:left w:w="28" w:type="dxa"/>
          <w:bottom w:w="28" w:type="dxa"/>
          <w:right w:w="28" w:type="dxa"/>
        </w:tblCellMar>
      </w:tblPr>
      <w:tblGrid>
        <w:gridCol w:w="161"/>
        <w:gridCol w:w="109"/>
        <w:gridCol w:w="146"/>
        <w:gridCol w:w="64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having patients complete a clinical trial or return for post-treatment follow-up;</w:t>
            </w:r>
          </w:p>
        </w:tc>
      </w:tr>
    </w:tbl>
    <w:tbl>
      <w:tblPr>
        <w:tblW w:w="10182" w:type="dxa"/>
        <w:jc w:val="left"/>
        <w:tblInd w:w="0" w:type="dxa"/>
        <w:tblLayout w:type="fixed"/>
        <w:tblCellMar>
          <w:top w:w="28" w:type="dxa"/>
          <w:left w:w="28" w:type="dxa"/>
          <w:bottom w:w="28" w:type="dxa"/>
          <w:right w:w="28" w:type="dxa"/>
        </w:tblCellMar>
      </w:tblPr>
      <w:tblGrid>
        <w:gridCol w:w="161"/>
        <w:gridCol w:w="109"/>
        <w:gridCol w:w="146"/>
        <w:gridCol w:w="97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inspections of clinical trial sites or operations by applicable regulatory authorities, or the imposition of a clinical hold;</w:t>
            </w:r>
          </w:p>
        </w:tc>
      </w:tr>
    </w:tbl>
    <w:tbl>
      <w:tblPr>
        <w:tblW w:w="8307" w:type="dxa"/>
        <w:jc w:val="left"/>
        <w:tblInd w:w="0" w:type="dxa"/>
        <w:tblLayout w:type="fixed"/>
        <w:tblCellMar>
          <w:top w:w="28" w:type="dxa"/>
          <w:left w:w="28" w:type="dxa"/>
          <w:bottom w:w="28" w:type="dxa"/>
          <w:right w:w="28" w:type="dxa"/>
        </w:tblCellMar>
      </w:tblPr>
      <w:tblGrid>
        <w:gridCol w:w="161"/>
        <w:gridCol w:w="109"/>
        <w:gridCol w:w="146"/>
        <w:gridCol w:w="78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sites, CROs or other third parties deviating from trial protocol or dropping out of a trial;</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failure to perform in accordance with applicable regulatory requirements, including the FDA’s current GCP requirements, or applicable regulatory requirements in other countries;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addressing patient safety concerns that arise during the course of a trial, including occurrence of adverse events associated with the product candidate that are viewed to outweigh its potential benefits;</w:t>
            </w:r>
          </w:p>
        </w:tc>
      </w:tr>
    </w:tbl>
    <w:tbl>
      <w:tblPr>
        <w:tblW w:w="4452" w:type="dxa"/>
        <w:jc w:val="left"/>
        <w:tblInd w:w="0" w:type="dxa"/>
        <w:tblLayout w:type="fixed"/>
        <w:tblCellMar>
          <w:top w:w="28" w:type="dxa"/>
          <w:left w:w="28" w:type="dxa"/>
          <w:bottom w:w="28" w:type="dxa"/>
          <w:right w:w="28" w:type="dxa"/>
        </w:tblCellMar>
      </w:tblPr>
      <w:tblGrid>
        <w:gridCol w:w="161"/>
        <w:gridCol w:w="109"/>
        <w:gridCol w:w="146"/>
        <w:gridCol w:w="403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adding a sufficient number of clinical trial sites;</w:t>
            </w:r>
          </w:p>
        </w:tc>
      </w:tr>
    </w:tbl>
    <w:tbl>
      <w:tblPr>
        <w:tblW w:w="7317" w:type="dxa"/>
        <w:jc w:val="left"/>
        <w:tblInd w:w="0" w:type="dxa"/>
        <w:tblLayout w:type="fixed"/>
        <w:tblCellMar>
          <w:top w:w="28" w:type="dxa"/>
          <w:left w:w="28" w:type="dxa"/>
          <w:bottom w:w="28" w:type="dxa"/>
          <w:right w:w="28" w:type="dxa"/>
        </w:tblCellMar>
      </w:tblPr>
      <w:tblGrid>
        <w:gridCol w:w="161"/>
        <w:gridCol w:w="109"/>
        <w:gridCol w:w="146"/>
        <w:gridCol w:w="69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sufficient quantities of product candidate for use in clinical trials; or</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suspensions or terminations by IRBs of the institutions at which such trials are being conducted, or by the FDA or other regulatory authorities due to a number of factors, including those described above.</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our ability to receive marketing approval or commercialize our product candidates or significantly increase the cost of such trials, including: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regulatory requirements or guidance, or receive feedback from regulatory authorities that requires us to modify the design of our clinical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 may produce negative or inconclusive results, and we may decide, or regulators may require us, to conduct additional clinical trials or abandon development programs;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number of patients required for clinical trials may be larger than we anticipate, enrollment in these clinical trials may be slower than we anticipate, or participants may drop out of these clinical trials at a higher rate than we anticipate;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contractors may fail to comply with regulatory requirements or meet their contractual obligations to us in a timely manner, or at all;</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or our investigators might have to suspend or terminate clinical trials for various reasons, including non-compliance with regulatory requirements, a finding that a product candidate has undesirable side effects or other unexpected characteristics, or a finding that the participants are being exposed to unacceptable health risks;</w:t>
            </w:r>
          </w:p>
        </w:tc>
      </w:tr>
    </w:tbl>
    <w:tbl>
      <w:tblPr>
        <w:tblW w:w="9042" w:type="dxa"/>
        <w:jc w:val="left"/>
        <w:tblInd w:w="0" w:type="dxa"/>
        <w:tblLayout w:type="fixed"/>
        <w:tblCellMar>
          <w:top w:w="28" w:type="dxa"/>
          <w:left w:w="28" w:type="dxa"/>
          <w:bottom w:w="28" w:type="dxa"/>
          <w:right w:w="28" w:type="dxa"/>
        </w:tblCellMar>
      </w:tblPr>
      <w:tblGrid>
        <w:gridCol w:w="161"/>
        <w:gridCol w:w="109"/>
        <w:gridCol w:w="146"/>
        <w:gridCol w:w="86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cost of clinical trials may be greater than we anticipate and we may not have funds to cover the costs;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supply or quality of product candidates or other materials necessary to conduct clinical trials may be insufficient or inadequate;</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regulators may revise the requirements for approving our product candidates, or such requirements may not be as we anticipate;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future collaborators that conduct clinical trials may face any of the above issues and may conduct clinical trials in ways they view as advantageous to them but that are suboptimal for us.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any clinical trials we may conduct will demonstrate efficacy and safety sufficient to obtain approval to market any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initial, “top-line,” and preliminary data from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Calibri" w:hAnsi="Calibri"/>
          <w:sz w:val="20"/>
        </w:rPr>
      </w:pPr>
      <w:r>
        <w:rPr>
          <w:rFonts w:ascii="Times New Roman" w:hAnsi="Times New Roman"/>
          <w:color w:val="000000"/>
          <w:sz w:val="20"/>
        </w:rPr>
        <w:t>From time to time, we may publicly disclose interim, preliminary or top-line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condition. Preliminary or top-line data also remain subject to audit and verification procedures that may result in the final data being materially different from the preliminary data we previously published. As a result, interim, preliminary and top-line data should be viewed with caution until the final data are available. We also make assumptions, estimations, and calculations, and draw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or the approvability or commercialization of the particular product candidate and could have a material adverse effect on the success of our business. In addition, the information we choose to disclose publicly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Further, disclosure of interim, top-line, or preliminary data by us or by our competitors could result in volatility in the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product candidates, and jeopardize our ability to commercialize our product candidates, if approved, and generate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develop programs in combination with other therapies, which exposes us to additional risks.</w:t>
      </w:r>
    </w:p>
    <w:p>
      <w:pPr>
        <w:pStyle w:val="TextBody"/>
        <w:bidi w:val="0"/>
        <w:spacing w:before="120" w:after="283"/>
        <w:jc w:val="left"/>
        <w:rPr>
          <w:rFonts w:ascii="Calibri" w:hAnsi="Calibri"/>
          <w:sz w:val="20"/>
        </w:rPr>
      </w:pPr>
      <w:r>
        <w:rPr>
          <w:rFonts w:ascii="Times New Roman" w:hAnsi="Times New Roman"/>
          <w:color w:val="000000"/>
          <w:sz w:val="20"/>
        </w:rPr>
        <w:t>We intend to develop OKI-345 and OKI-355 and may develop other product candidates,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risks that the FDA or other comparable foreign regulatory authorities could revoke approval of the therapy used in combination with our product candidates, or safety, efficacy, manufacturing, or supply issues could arise with these existing therapies. In addition, it is possible that existing therapies with which our product candidates may be</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approved for use could themselves fall out of favor or be relegated to later lines of treatment. This could result in the need to identify other combination therapies for our product candidates or our products being removed from the market or being less successful commercially. If the FDA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or all of the product candidates we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is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proprietary products.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 As a result of these factors, our competitors may succeed in obtaining approval from the FDA, EMA, or other comparable foreign regulatory authorities or in discovering, developing, and commercializing product candidates in our field before we do.</w:t>
      </w:r>
    </w:p>
    <w:p>
      <w:pPr>
        <w:pStyle w:val="TextBody"/>
        <w:bidi w:val="0"/>
        <w:spacing w:before="120" w:after="283"/>
        <w:jc w:val="left"/>
        <w:rPr>
          <w:rFonts w:ascii="Calibri" w:hAnsi="Calibri"/>
          <w:sz w:val="20"/>
        </w:rPr>
      </w:pPr>
      <w:r>
        <w:rPr>
          <w:rFonts w:ascii="Times New Roman" w:hAnsi="Times New Roman"/>
          <w:color w:val="000000"/>
          <w:sz w:val="20"/>
        </w:rPr>
        <w:t>There are multiple PI3Kα-pathway targeted agents either approved or under clinical development that will potentially compete with our PI3Kα-targeted portfolio. Alpelisib (Piqray, a PI3Kα-selective inhibitor marketed by Novartis) and capivasertib (Truqap, an AKT1 inhibitor marketed by AstraZeneca) are marketed medicines, both of which are approved for the treatment of PI3Kα-mutated breast cancer patients in combination with the selective estrogen receptor degrader (“SERD”) fulvestrant. Additionally, the PI3Kα-selective inhibitor inavolisib (Itovebi</w:t>
      </w:r>
      <w:r>
        <w:rPr>
          <w:rFonts w:ascii="Times New Roman" w:hAnsi="Times New Roman"/>
          <w:color w:val="000000"/>
          <w:sz w:val="13"/>
        </w:rPr>
        <w:t>TM</w:t>
      </w:r>
      <w:r>
        <w:rPr>
          <w:rFonts w:ascii="Times New Roman" w:hAnsi="Times New Roman"/>
          <w:color w:val="000000"/>
          <w:sz w:val="20"/>
        </w:rPr>
        <w:t>) has been approved in combination with the SERD fulvestrant and the CDK4/6 inhibitor palbociclib (Ibrance</w:t>
      </w:r>
      <w:r>
        <w:rPr>
          <w:rFonts w:ascii="Times New Roman" w:hAnsi="Times New Roman"/>
          <w:color w:val="000000"/>
          <w:sz w:val="13"/>
        </w:rPr>
        <w:t>TM</w:t>
      </w:r>
      <w:r>
        <w:rPr>
          <w:rFonts w:ascii="Times New Roman" w:hAnsi="Times New Roman"/>
          <w:color w:val="000000"/>
          <w:sz w:val="20"/>
        </w:rPr>
        <w:t>) in endocrine resistant HR+/HER2- locally advanced or metastatic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aware of several novel PI3K-targeted therapies that are in clinical development. These include both multiple non-mutation-selective PI3K inhibitors (gedatolisib) (Celcuity Inc.); MEN1611 (Menarini) and TOS-358 (Totus Medicines) and inhibitors designed to have greater selectivity for mutated PI3Kα, including RLY-2608 (Relay Therapeutics), STX-478 (LLY4064809) (Loxo Oncology), and SNV4818 (Synnovation Therapeutics). Multiple other companies have disclosed or published research efforts in PI3K inhibitors that are at an early stage, but could potentially advance to the clinical trial stage. Finally, there are numerous other investigational therapies, spanning many modalities that are being evaluated preclinically and in clinical trials for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potential could be reduced or eliminated if our competitors develop and commercialize products that are safer or more effective, have fewer or less severe side effects, or are more convenient or less expensive than products that we may develop. Our competitors also may obtain FDA or other regulatory approval for their products more rapidly than we can, which could make our development more complicated or result in our competitors establishing a strong market position before we are able to enter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advances or products developed by our competitors may render our technologies or product candidates obsolete, less competitive, or not economical. If we are unable to compete effectively, our opportunity to generate revenue from the sale of our product candidates, if approved, could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OKI-345, OKI-355 or any other product candidate receives marketing approval, they may fail to achieve market acceptance among physicians, patients, third-party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OKI-345, OKI-355 or any other product candidate that we develop receives marketing approval, it may nonetheless fail to gain sufficient market acceptance by physicians, patients, third-party payors, and others in the medical community. The degree of market acceptance of OKI-345, OKI-355 or any other product candidate that we develop, if approved for commercial sale, will depend on a number of factors, including: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efficacy and potential advantages of our product candidates compared to alternative treatments, including the existing standard-of-care;</w:t>
            </w:r>
          </w:p>
        </w:tc>
      </w:tr>
    </w:tbl>
    <w:tbl>
      <w:tblPr>
        <w:tblW w:w="5232" w:type="dxa"/>
        <w:jc w:val="left"/>
        <w:tblInd w:w="0" w:type="dxa"/>
        <w:tblLayout w:type="fixed"/>
        <w:tblCellMar>
          <w:top w:w="28" w:type="dxa"/>
          <w:left w:w="28" w:type="dxa"/>
          <w:bottom w:w="28" w:type="dxa"/>
          <w:right w:w="28" w:type="dxa"/>
        </w:tblCellMar>
      </w:tblPr>
      <w:tblGrid>
        <w:gridCol w:w="161"/>
        <w:gridCol w:w="109"/>
        <w:gridCol w:w="146"/>
        <w:gridCol w:w="48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offer products for sale at competitive prices;</w:t>
            </w:r>
          </w:p>
        </w:tc>
      </w:tr>
    </w:tbl>
    <w:tbl>
      <w:tblPr>
        <w:tblW w:w="5277" w:type="dxa"/>
        <w:jc w:val="left"/>
        <w:tblInd w:w="0" w:type="dxa"/>
        <w:tblLayout w:type="fixed"/>
        <w:tblCellMar>
          <w:top w:w="28" w:type="dxa"/>
          <w:left w:w="28" w:type="dxa"/>
          <w:bottom w:w="28" w:type="dxa"/>
          <w:right w:w="28" w:type="dxa"/>
        </w:tblCellMar>
      </w:tblPr>
      <w:tblGrid>
        <w:gridCol w:w="161"/>
        <w:gridCol w:w="109"/>
        <w:gridCol w:w="146"/>
        <w:gridCol w:w="48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clinical indications for which the product is approved;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REMS, if any, which may not be required of alternative treatments and competitor products;</w:t>
            </w:r>
          </w:p>
        </w:tc>
      </w:tr>
    </w:tbl>
    <w:tbl>
      <w:tblPr>
        <w:tblW w:w="5172" w:type="dxa"/>
        <w:jc w:val="left"/>
        <w:tblInd w:w="0" w:type="dxa"/>
        <w:tblLayout w:type="fixed"/>
        <w:tblCellMar>
          <w:top w:w="28" w:type="dxa"/>
          <w:left w:w="28" w:type="dxa"/>
          <w:bottom w:w="28" w:type="dxa"/>
          <w:right w:w="28" w:type="dxa"/>
        </w:tblCellMar>
      </w:tblPr>
      <w:tblGrid>
        <w:gridCol w:w="161"/>
        <w:gridCol w:w="109"/>
        <w:gridCol w:w="146"/>
        <w:gridCol w:w="47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tc>
      </w:tr>
    </w:tbl>
    <w:tbl>
      <w:tblPr>
        <w:tblW w:w="6987" w:type="dxa"/>
        <w:jc w:val="left"/>
        <w:tblInd w:w="0" w:type="dxa"/>
        <w:tblLayout w:type="fixed"/>
        <w:tblCellMar>
          <w:top w:w="28" w:type="dxa"/>
          <w:left w:w="28" w:type="dxa"/>
          <w:bottom w:w="28" w:type="dxa"/>
          <w:right w:w="28" w:type="dxa"/>
        </w:tblCellMar>
      </w:tblPr>
      <w:tblGrid>
        <w:gridCol w:w="161"/>
        <w:gridCol w:w="109"/>
        <w:gridCol w:w="146"/>
        <w:gridCol w:w="657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convenience and ease of administration compared to alternative treatments;</w:t>
            </w:r>
          </w:p>
        </w:tc>
      </w:tr>
    </w:tbl>
    <w:tbl>
      <w:tblPr>
        <w:tblW w:w="9507" w:type="dxa"/>
        <w:jc w:val="left"/>
        <w:tblInd w:w="0" w:type="dxa"/>
        <w:tblLayout w:type="fixed"/>
        <w:tblCellMar>
          <w:top w:w="28" w:type="dxa"/>
          <w:left w:w="28" w:type="dxa"/>
          <w:bottom w:w="28" w:type="dxa"/>
          <w:right w:w="28" w:type="dxa"/>
        </w:tblCellMar>
      </w:tblPr>
      <w:tblGrid>
        <w:gridCol w:w="161"/>
        <w:gridCol w:w="109"/>
        <w:gridCol w:w="146"/>
        <w:gridCol w:w="90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doctors to prescribe these therapies;</w:t>
            </w:r>
          </w:p>
        </w:tc>
      </w:tr>
    </w:tbl>
    <w:tbl>
      <w:tblPr>
        <w:tblW w:w="4992" w:type="dxa"/>
        <w:jc w:val="left"/>
        <w:tblInd w:w="0" w:type="dxa"/>
        <w:tblLayout w:type="fixed"/>
        <w:tblCellMar>
          <w:top w:w="28" w:type="dxa"/>
          <w:left w:w="28" w:type="dxa"/>
          <w:bottom w:w="28" w:type="dxa"/>
          <w:right w:w="28" w:type="dxa"/>
        </w:tblCellMar>
      </w:tblPr>
      <w:tblGrid>
        <w:gridCol w:w="161"/>
        <w:gridCol w:w="109"/>
        <w:gridCol w:w="146"/>
        <w:gridCol w:w="457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strength of our marketing and distribution support;</w:t>
            </w:r>
          </w:p>
        </w:tc>
      </w:tr>
    </w:tbl>
    <w:tbl>
      <w:tblPr>
        <w:tblW w:w="5322" w:type="dxa"/>
        <w:jc w:val="left"/>
        <w:tblInd w:w="0" w:type="dxa"/>
        <w:tblLayout w:type="fixed"/>
        <w:tblCellMar>
          <w:top w:w="28" w:type="dxa"/>
          <w:left w:w="28" w:type="dxa"/>
          <w:bottom w:w="28" w:type="dxa"/>
          <w:right w:w="28" w:type="dxa"/>
        </w:tblCellMar>
      </w:tblPr>
      <w:tblGrid>
        <w:gridCol w:w="161"/>
        <w:gridCol w:w="109"/>
        <w:gridCol w:w="146"/>
        <w:gridCol w:w="49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timing of market introduction of competitive products;</w:t>
            </w:r>
          </w:p>
        </w:tc>
      </w:tr>
    </w:tbl>
    <w:tbl>
      <w:tblPr>
        <w:tblW w:w="7317" w:type="dxa"/>
        <w:jc w:val="left"/>
        <w:tblInd w:w="0" w:type="dxa"/>
        <w:tblLayout w:type="fixed"/>
        <w:tblCellMar>
          <w:top w:w="28" w:type="dxa"/>
          <w:left w:w="28" w:type="dxa"/>
          <w:bottom w:w="28" w:type="dxa"/>
          <w:right w:w="28" w:type="dxa"/>
        </w:tblCellMar>
      </w:tblPr>
      <w:tblGrid>
        <w:gridCol w:w="161"/>
        <w:gridCol w:w="109"/>
        <w:gridCol w:w="146"/>
        <w:gridCol w:w="69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potential for our competitors to limit our access to the market through anti-competitive contracts or other arrangements;</w:t>
            </w:r>
          </w:p>
        </w:tc>
      </w:tr>
    </w:tbl>
    <w:tbl>
      <w:tblPr>
        <w:tblW w:w="5187" w:type="dxa"/>
        <w:jc w:val="left"/>
        <w:tblInd w:w="0" w:type="dxa"/>
        <w:tblLayout w:type="fixed"/>
        <w:tblCellMar>
          <w:top w:w="28" w:type="dxa"/>
          <w:left w:w="28" w:type="dxa"/>
          <w:bottom w:w="28" w:type="dxa"/>
          <w:right w:w="28" w:type="dxa"/>
        </w:tblCellMar>
      </w:tblPr>
      <w:tblGrid>
        <w:gridCol w:w="161"/>
        <w:gridCol w:w="109"/>
        <w:gridCol w:w="146"/>
        <w:gridCol w:w="477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unfavorable publicity relating to our product candidates;</w:t>
            </w:r>
          </w:p>
        </w:tc>
      </w:tr>
    </w:tbl>
    <w:tbl>
      <w:tblPr>
        <w:tblW w:w="4692" w:type="dxa"/>
        <w:jc w:val="left"/>
        <w:tblInd w:w="0" w:type="dxa"/>
        <w:tblLayout w:type="fixed"/>
        <w:tblCellMar>
          <w:top w:w="28" w:type="dxa"/>
          <w:left w:w="28" w:type="dxa"/>
          <w:bottom w:w="28" w:type="dxa"/>
          <w:right w:w="28" w:type="dxa"/>
        </w:tblCellMar>
      </w:tblPr>
      <w:tblGrid>
        <w:gridCol w:w="161"/>
        <w:gridCol w:w="109"/>
        <w:gridCol w:w="146"/>
        <w:gridCol w:w="427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prevalence and severity of any side effects; and</w:t>
            </w:r>
          </w:p>
        </w:tc>
      </w:tr>
    </w:tbl>
    <w:tbl>
      <w:tblPr>
        <w:tblW w:w="6627" w:type="dxa"/>
        <w:jc w:val="left"/>
        <w:tblInd w:w="0" w:type="dxa"/>
        <w:tblLayout w:type="fixed"/>
        <w:tblCellMar>
          <w:top w:w="28" w:type="dxa"/>
          <w:left w:w="28" w:type="dxa"/>
          <w:bottom w:w="28" w:type="dxa"/>
          <w:right w:w="28" w:type="dxa"/>
        </w:tblCellMar>
      </w:tblPr>
      <w:tblGrid>
        <w:gridCol w:w="161"/>
        <w:gridCol w:w="109"/>
        <w:gridCol w:w="146"/>
        <w:gridCol w:w="621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restrictions on the use of our products together with other medications.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product candidates are approved but do not achieve an adequate level of market acceptance, we may not generate or derive sufficient revenue from that product candidate and our financial results could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is approved, we must build marketing, sales, distribution, managerial, and other non-technical capabilities or make arrangements with third parties to perform these services for each of the territories in which we intend to sell and market our product candidates. We may not be successful in accomplishing these required tasks.</w:t>
      </w:r>
    </w:p>
    <w:p>
      <w:pPr>
        <w:pStyle w:val="TextBody"/>
        <w:bidi w:val="0"/>
        <w:spacing w:before="120" w:after="283"/>
        <w:jc w:val="left"/>
        <w:rPr>
          <w:rFonts w:ascii="Calibri" w:hAnsi="Calibri"/>
          <w:sz w:val="20"/>
        </w:rPr>
      </w:pPr>
      <w:r>
        <w:rPr>
          <w:rFonts w:ascii="Times New Roman" w:hAnsi="Times New Roman"/>
          <w:color w:val="000000"/>
          <w:sz w:val="20"/>
        </w:rPr>
        <w:t>Establishing and building out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any approved product candidates, either on our own or through collaborations with one or more third parties, our future product revenue will suffer, and we may incur significant additional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our products,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our product candidates are approved for marketing, such claims could still result in an FDA, EMA, or other regulatory authority investigation of the safety and effectiveness of such products, our manufacturing processes and facilities or our marketing programs. These investigations could potentially lead to a recall of our products or more serious enforcement actions, limitations on the approved indications for which they may be used or suspension, or withdrawal of approvals. Regardless of the merits or eventual outcome, liability claims may also result in injury to our reputation, withdrawal of clinical trial participants, costs to defend the related litigation, a diversion of management’s time and our resources, initiation of investigations by regulators, substantial monetary awards to patients or other claimants, the inability to commercialize our product candidates, and decreased demand for our product candidates, if approved for commercial sale.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and, if judgments exceed our insurance coverage, could adversely affect our results of operations and business and cause the price of our Common Stock to decline. Furthermore, clinical trial and product liability insurance is becoming increasingly expensive. As a result, we may be unable to maintain or obtain insurance coverage at a reasonable cost or in sufficient amounts to protect us against losses, including those caused by product liability claims.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120" w:after="283"/>
        <w:jc w:val="left"/>
        <w:rPr>
          <w:rFonts w:ascii="Calibri" w:hAnsi="Calibri"/>
          <w:sz w:val="20"/>
        </w:rPr>
      </w:pPr>
      <w:r>
        <w:rPr>
          <w:rFonts w:ascii="Times New Roman" w:hAnsi="Times New Roman"/>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and we believe that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 effectiveness of a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marketing our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regulatory strategies for our product candidates outside the United States and, accordingly, we expect that we or our partners would seek regulatory approval of our product candidates outside of the United States. As such, we expect that we will be subject to additional risks related to operating in foreign countries if we or such partners obtain the necessary approvals, including:</w:t>
      </w:r>
    </w:p>
    <w:tbl>
      <w:tblPr>
        <w:tblW w:w="7017" w:type="dxa"/>
        <w:jc w:val="left"/>
        <w:tblInd w:w="0" w:type="dxa"/>
        <w:tblLayout w:type="fixed"/>
        <w:tblCellMar>
          <w:top w:w="28" w:type="dxa"/>
          <w:left w:w="28" w:type="dxa"/>
          <w:bottom w:w="28" w:type="dxa"/>
          <w:right w:w="28" w:type="dxa"/>
        </w:tblCellMar>
      </w:tblPr>
      <w:tblGrid>
        <w:gridCol w:w="161"/>
        <w:gridCol w:w="109"/>
        <w:gridCol w:w="146"/>
        <w:gridCol w:w="66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differing regulatory requirements and drug pricing regimes in foreign countries;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unexpected new or reinstated or adjusted tariffs, trade barriers, price and exchange controls and other regulatory requirements;</w:t>
            </w:r>
          </w:p>
        </w:tc>
      </w:tr>
    </w:tbl>
    <w:tbl>
      <w:tblPr>
        <w:tblW w:w="9342" w:type="dxa"/>
        <w:jc w:val="left"/>
        <w:tblInd w:w="0" w:type="dxa"/>
        <w:tblLayout w:type="fixed"/>
        <w:tblCellMar>
          <w:top w:w="28" w:type="dxa"/>
          <w:left w:w="28" w:type="dxa"/>
          <w:bottom w:w="28" w:type="dxa"/>
          <w:right w:w="28" w:type="dxa"/>
        </w:tblCellMar>
      </w:tblPr>
      <w:tblGrid>
        <w:gridCol w:w="161"/>
        <w:gridCol w:w="109"/>
        <w:gridCol w:w="146"/>
        <w:gridCol w:w="89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tc>
      </w:tr>
    </w:tbl>
    <w:tbl>
      <w:tblPr>
        <w:tblW w:w="9012" w:type="dxa"/>
        <w:jc w:val="left"/>
        <w:tblInd w:w="0" w:type="dxa"/>
        <w:tblLayout w:type="fixed"/>
        <w:tblCellMar>
          <w:top w:w="28" w:type="dxa"/>
          <w:left w:w="28" w:type="dxa"/>
          <w:bottom w:w="28" w:type="dxa"/>
          <w:right w:w="28" w:type="dxa"/>
        </w:tblCellMar>
      </w:tblPr>
      <w:tblGrid>
        <w:gridCol w:w="161"/>
        <w:gridCol w:w="109"/>
        <w:gridCol w:w="146"/>
        <w:gridCol w:w="85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tc>
      </w:tr>
    </w:tbl>
    <w:tbl>
      <w:tblPr>
        <w:tblW w:w="4917" w:type="dxa"/>
        <w:jc w:val="left"/>
        <w:tblInd w:w="0" w:type="dxa"/>
        <w:tblLayout w:type="fixed"/>
        <w:tblCellMar>
          <w:top w:w="28" w:type="dxa"/>
          <w:left w:w="28" w:type="dxa"/>
          <w:bottom w:w="28" w:type="dxa"/>
          <w:right w:w="28" w:type="dxa"/>
        </w:tblCellMar>
      </w:tblPr>
      <w:tblGrid>
        <w:gridCol w:w="161"/>
        <w:gridCol w:w="109"/>
        <w:gridCol w:w="146"/>
        <w:gridCol w:w="45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taxes, including withholding of payroll taxes;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4902" w:type="dxa"/>
        <w:jc w:val="left"/>
        <w:tblInd w:w="0" w:type="dxa"/>
        <w:tblLayout w:type="fixed"/>
        <w:tblCellMar>
          <w:top w:w="28" w:type="dxa"/>
          <w:left w:w="28" w:type="dxa"/>
          <w:bottom w:w="28" w:type="dxa"/>
          <w:right w:w="28" w:type="dxa"/>
        </w:tblCellMar>
      </w:tblPr>
      <w:tblGrid>
        <w:gridCol w:w="161"/>
        <w:gridCol w:w="109"/>
        <w:gridCol w:w="146"/>
        <w:gridCol w:w="44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tc>
      </w:tr>
    </w:tbl>
    <w:tbl>
      <w:tblPr>
        <w:tblW w:w="8367" w:type="dxa"/>
        <w:jc w:val="left"/>
        <w:tblInd w:w="0" w:type="dxa"/>
        <w:tblLayout w:type="fixed"/>
        <w:tblCellMar>
          <w:top w:w="28" w:type="dxa"/>
          <w:left w:w="28" w:type="dxa"/>
          <w:bottom w:w="28" w:type="dxa"/>
          <w:right w:w="28" w:type="dxa"/>
        </w:tblCellMar>
      </w:tblPr>
      <w:tblGrid>
        <w:gridCol w:w="161"/>
        <w:gridCol w:w="109"/>
        <w:gridCol w:w="146"/>
        <w:gridCol w:w="79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tc>
      </w:tr>
    </w:tbl>
    <w:tbl>
      <w:tblPr>
        <w:tblW w:w="6192" w:type="dxa"/>
        <w:jc w:val="left"/>
        <w:tblInd w:w="0" w:type="dxa"/>
        <w:tblLayout w:type="fixed"/>
        <w:tblCellMar>
          <w:top w:w="28" w:type="dxa"/>
          <w:left w:w="28" w:type="dxa"/>
          <w:bottom w:w="28" w:type="dxa"/>
          <w:right w:w="28" w:type="dxa"/>
        </w:tblCellMar>
      </w:tblPr>
      <w:tblGrid>
        <w:gridCol w:w="161"/>
        <w:gridCol w:w="109"/>
        <w:gridCol w:w="146"/>
        <w:gridCol w:w="577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tc>
      </w:tr>
    </w:tbl>
    <w:tbl>
      <w:tblPr>
        <w:tblW w:w="7572" w:type="dxa"/>
        <w:jc w:val="left"/>
        <w:tblInd w:w="0" w:type="dxa"/>
        <w:tblLayout w:type="fixed"/>
        <w:tblCellMar>
          <w:top w:w="28" w:type="dxa"/>
          <w:left w:w="28" w:type="dxa"/>
          <w:bottom w:w="28" w:type="dxa"/>
          <w:right w:w="28" w:type="dxa"/>
        </w:tblCellMar>
      </w:tblPr>
      <w:tblGrid>
        <w:gridCol w:w="161"/>
        <w:gridCol w:w="109"/>
        <w:gridCol w:w="146"/>
        <w:gridCol w:w="71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or those of any applicable international partners may materially adversely affect our ability to attain or maintain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Increased tariffs on imports, including tariffs imposed by the United States and China, trade sanctions, other trade restrictions, or a global trade war could increase our costs and materially and adversely affect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negatively affected by tariffs, trade restrictions, and other governmental protectionist measures, any of which can be imposed suddenly and unpredictably. For example, following Russia’s invasion of Ukraine, the United States and other countries imposed economic sanctions and severe export control restrictions against Russia, Belarus and the occupied regions of Ukraine. The situation continues to evolve, and the United States, the EU, the United Kingdom, and other countries have implemented and may continue to implement additional sanctions, export controls, or other measures against Russia and other countries, regions, officials, individuals, companies, or industries in the respective territories, as well as entities or individuals in other countries that are providing support to the sanctioned parties.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pStyle w:val="TextBody"/>
        <w:bidi w:val="0"/>
        <w:spacing w:before="120" w:after="283"/>
        <w:jc w:val="left"/>
        <w:rPr>
          <w:rFonts w:ascii="Calibri" w:hAnsi="Calibri"/>
          <w:sz w:val="20"/>
        </w:rPr>
      </w:pPr>
      <w:r>
        <w:rPr>
          <w:rFonts w:ascii="Times New Roman" w:hAnsi="Times New Roman"/>
          <w:color w:val="000000"/>
          <w:sz w:val="20"/>
        </w:rPr>
        <w:t>There is also currently significant uncertainty about the future relationship between the United States and various other countries, including China, with respect to trade policies, treaties, trade regulations, and tariffs. In February 2025, the current U.S. presidential administration stated its intent to modify U.S. trade policy and, in some cases, to renegotiate, or potentially terminate, certain existing bilateral or multilateral trade agreements. Beginning that month, the administration imposed “fentanyl-related” tariffs of 10-35% on imported products of China, Canada, and Mexico, with an exception for goods that qualify for duty-free treatment under the U.S.-Mexico-Canada Agreement. Beginning in April 2025, the administration also imposed “reciprocal” tariffs of 10% or more on imports from almost all U.S. trading partners other than Canada and Mexico, including China and the European Union. Both of the foregoing tariffs were implemented under authorities asserted under the International Emergency Economic Powers Act (“IEEPA”) and rescinded on February 24, 2026, following a Supreme Court decision invalidating the use of IEEPA to authorize these tariffs. Though the U.S. government has begun refunding payments made in connection with the IEEPA tariffs, but the availability, timing, and amount of any related refunds associated with payments of these tariffs remain uncertain and subject to further legal, regulatory, and administrative action. Following the recission of these tariffs, between February 24, 2026, and July 24, 2026, the U.S. government implemented a global “temporary import surcharge” of 10% on many of the same products affected by the prior reciprocal tariffs, under authorities provided for in Section 122 of the Trade Act of 1974. Upon expiration of the Section 122 temporary import surcharge on July 24, 2026, the U.S. government implemented tariffs of up to 10% or 12.5% on imported commodities from 60 U.S. trading partners, with certain items (including certain chemicals used for pharmaceutical applications) excepted, under authorities provided under Section 301 of the Trade Act of 1974, following a determination by the U.S. Trade Representative that these trading partners insufficiently enforce forced labor laws. The foregoing tariffs supplement existing non-IEEPA tariff measures, including those already imposed under authorities provided in Section 232 of the Trade Expansion Act of 1962 and other tariffs imposed under Section 301. For example, the U.S. government announced in April 2026 that it would impose a new Section 232 tariff of up to 100% on certain patented or branded pharmaceuticals and pharmaceutical products beginning in July</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2026. The U.S. Commerce Department is currently conducting targeted investigations related to national security risks associated with imports of certain items under Section 232 which could result in additional tariffs on imports of those items. The administration continues to implement new, reinstated, or adjusted tariffs, and we expect that the administration will continue with this practice. These tariffs (and the uncertainty around their implementation) could affect inputs to our products, as well as equipment, materials, or components that we import into the United States from our suppliers, which could significantly impact the cost of these items. Retaliatory tariffs and trade barriers could also negatively affect our ability to export and sell our potential products into those countries. If these tariffs are implemented, reinstated or adjusted, if additional tariffs are placed, or if any related countermeasures are taken by China, the European Union, or other countries, our business, financial condition, and results of operations may be materially harmed.</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We may not be able to forecast such impacts accurately. Although we continue to work with our vendors to mitigate our exposure to current or potential tariffs and trade restrictions, we cannot assure you that we will be able to offset any increased costs or supply shortages. The ultimate impact of any tariffs or trade restrictions will depend on various factors, including the timing of implementation and the duration, amount, scope, and nature of the tariffs and trade restrictions. If we are not successful in offsetting the impact of any such tariffs or trade restrictions, our operating results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tariffs are subject to a number of uncertainties as they are implemented, including timing, future adjustments, and other changes. The ultimate reaction of other countries and the impact of these tariffs or other actions on the United States, the global economy, and our business, financial condition, and results of operations, cannot be predicted at this time, nor can we predict the impact of any other developments with respect to global trade. Further, the imposition of additional tariffs by the United States could result in the adoption of additional tariffs by other countries, as well as export controls and further retaliatory actions by any affected country. Any resulting trade war could negatively affect the global market for pharmaceuticals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potential customers or suppliers, and have a material adverse effect on our business, financial condition, and results of operations.</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technology and product candidates, or if the scope of the intellectual property protection obtained is not sufficiently broad, our competitors or other third parties could develop and commercialize products similar or identical to ours, and our ability to successfully develop and, if approved,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a combination of patents, trademarks, trade secret protection and confidentiality agreements to protect the intellectual property related to our development programs and product candidates. Our success depends in part on our ability to obtain and maintain patent protection in the United States and other countries with respect to OKI-345, OKI-355 and any other product candidates. We seek to protect our proprietary position by filing patent applications in the United States and abroad related to our development programs, product candidates and novel discoveries that are important to our business. The patent prosecution process is expensive and time-consuming, and we may not be able to file, prosecute, enforce or license all necessary or desirable patent applications at a reasonable cost or in a timely manner.</w:t>
      </w:r>
    </w:p>
    <w:p>
      <w:pPr>
        <w:pStyle w:val="TextBody"/>
        <w:bidi w:val="0"/>
        <w:spacing w:before="120" w:after="283"/>
        <w:jc w:val="left"/>
        <w:rPr>
          <w:rFonts w:ascii="Calibri" w:hAnsi="Calibri"/>
          <w:sz w:val="20"/>
        </w:rPr>
      </w:pPr>
      <w:r>
        <w:rPr>
          <w:rFonts w:ascii="Times New Roman" w:hAnsi="Times New Roman"/>
          <w:color w:val="000000"/>
          <w:sz w:val="20"/>
        </w:rPr>
        <w:t>The patents and patent applications that we own may fail to result in issued patents with claims that protect OKI-345, OKI-355 or any other product candidate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OKI-345, OKI-355 or any other product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the scope and coverage of such patents may be so narrow that a third party</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successfully design around our patents without materially impacting the therapeutic effectiveness of the resulting drug product. Further, if we encounter delays in regulatory approvals, the period of time during which we could market a product candidate under patent protection could be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United States Patent and Trademark Office (the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USPTO requires us to disclose all material references to the patent examiner during prosecution of our patent applications, and failure to do so could result in a third party successfully challenging our ability to enforce a patent against an infringer;</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applications may not result in any patents being issued or in patents with meaningful scope, coverage or exclusivity;</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may be challenged, invalidated, modified, revoked, circumvented, found to be unenforceable or otherwise may not provide any competitive advantage;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which have made significant investments in competing technologies, may seek or may have already obtained patents that will limit, interfere with or block our ability to make, use and sell our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treatments of diseases or conditions that prove successful, as a matter of public policy regarding worldwide health concerns;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countries other than the United States may have patent laws that are less favorable to patentees, allowing foreign competitors a better opportunity to create, develop and market competing products.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also expensive and time consuming, and we may not be able to file, prosecute, maintain, enforce or license all necessary or desirable patent applications or maintain or enforce patents that may issue based on our patent applications, at a reasonable cost or in a timely manner or in all jurisdictions where protection may be commercially advantageous. We may not be able to obtain or maintain patent applications and patents due to the subject matter claimed in such patent applications and patents in the public domain. It is also possible that we will fail to identify patentable aspects of our research and development output before it is too late to obtain patent protection. Moreover, if we choose to license certain patent rights in the future from third parties, we may not have the right to control the preparation, filing and prosecution of such patent applications, or to maintain the patents, directed to technology that we license from those third parties. We may also require the cooperation of our future licensor, if any, to enforce the licensed patent rights, and such cooperation may not be provided. Therefore, any licensed patents and applications may not be prosecuted and enforced in a manner consistent with the best interests of our business. We cannot be certain that patent prosecution and maintenance activities by any of our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patent applications we hold or may in-license in the future with respect to our development programs and product candidates fail to issue, if their breadth or strength of protection is threatened, or if they fail to provide meaningful exclusivity for OKI-345, OKI-355 or any other product candidate, it could dissuade other companies from collaborating with us to develop product candidates, and threaten our ability to commercialize OKI-345, OKI-355 or other product candidates. Any such outcome could have a materially adverse effect on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been and will continue to be the subject of litigation and new legislation, resulting in court decisions, including U.S. Supreme Court decisions, which have increased uncertainties as to the ability to enforce patent rights in the future.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that protect our technology or products, in whole or in part, or that effectively prevent others from commercializing competitive technologies and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United States and other countries may diminish the value of our patents or narrow the scope of our patent protection.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may be subject to a third-party pre-issuance submission of prior art to the USPTO or become involved in opposition, derivation, reexamination, inter partes review, post-grant review or interference proceedings challenging our patent rights or the patent rights of others. The costs of defending patents or enforcing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their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licensed patents and patent applications may be challenged in the courts or patent offices in the United States and abroad. Even issued patents may later be found invalid or unenforceable or may be modified or revoked in proceedings instituted by third parties before various patent offices or in courts. An adverse decision in any such challenge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incurred by the USPTO in examining the patent application (patent term adjustment). The scope of patent protection may also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rights are of limited duration. In the United States, if all maintenance fees are paid timely,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the term of a patent can be increased by patent term adjustment, which is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OKI-345, OKI-355 and any other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based on the first approved use of a product and is limited to only one patent that covers the approved product, the approved use of the product or a method of manufacturing the product. Such patent term extension cannot extend the remaining term of a patent beyond a total of 14 years from the date of product approval.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governing analogous patent term extension (“PTE”)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apply prior to expiration of relevant patents or otherwise satisfy applicable requirements. If we are unable to obtain PTE or restoration, or the term of any such extension is less than we request, the period during which we will have the right to exclusively market our products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Calibri" w:hAnsi="Calibri"/>
          <w:sz w:val="20"/>
        </w:rPr>
      </w:pPr>
      <w:r>
        <w:rPr>
          <w:rFonts w:ascii="Times New Roman" w:hAnsi="Times New Roman"/>
          <w:color w:val="000000"/>
          <w:sz w:val="20"/>
        </w:rPr>
        <w:t>Periodic maintenance fees, renewal fees, annuity fees and various other government fees on patents and patent applications will be due to the USPTO and other foreign patent agencies in several stages over the lifetime of our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 failure to respond to official actions within prescribed time limits, non-payment of fees and failure to properly legalize and submit formal documents. If we or any of our licensors fails to maintain the patents and patent applications covering OKI-345, OKI-355 or any other product candidate, our competitors may be able to enter the market, which would have an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product candidates or will prevent, limit or otherwise interfere with our ability to make, use or sell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involved in third-party claims of intellectual property infringement, which may delay or prevent the development and commercialization of OKI-345, OKI-355 and any other product candidate.</w:t>
      </w:r>
    </w:p>
    <w:p>
      <w:pPr>
        <w:pStyle w:val="TextBody"/>
        <w:bidi w:val="0"/>
        <w:spacing w:before="120" w:after="283"/>
        <w:jc w:val="left"/>
        <w:rPr>
          <w:rFonts w:ascii="Calibri" w:hAnsi="Calibri"/>
          <w:sz w:val="20"/>
        </w:rPr>
      </w:pPr>
      <w:r>
        <w:rPr>
          <w:rFonts w:ascii="Times New Roman" w:hAnsi="Times New Roman"/>
          <w:color w:val="000000"/>
          <w:sz w:val="20"/>
        </w:rPr>
        <w:t>Our commercial success depends in part on us avoiding infringement and other violations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We may be exposed to, or threatened with, future litigation by third parties having patent or other intellectual property rights and who allege that our product candidates, uses and/or other proprietary technologies infringe their intellectual property rights. Numerous U.S.- and foreign-issued patents and pending patent applications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infringing their patents or employing their proprietary technology without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third parties may obtain patent rights in the future and claim that use of our technologies infringes upon their rights. If any third-party patents were held by a court of competent jurisdiction to cover the manufacturing process of any of our product candidates, any molecules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product candidates, resulting in either an injunction prohibiting our sales, or, with respect to our sales, an obligation on our part to pay royalties or other forms of compensation to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price of our Common Stock may decline. Such announcements could also harm our reputation or the market for our future products,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rights, or the patents or other intellectual property rights of any licensors, which could be expensive, time-consuming, and unsuccessful.</w:t>
      </w:r>
    </w:p>
    <w:p>
      <w:pPr>
        <w:pStyle w:val="TextBody"/>
        <w:bidi w:val="0"/>
        <w:spacing w:before="120" w:after="283"/>
        <w:jc w:val="left"/>
        <w:rPr>
          <w:rFonts w:ascii="Calibri" w:hAnsi="Calibri"/>
          <w:sz w:val="20"/>
        </w:rPr>
      </w:pPr>
      <w:r>
        <w:rPr>
          <w:rFonts w:ascii="Times New Roman" w:hAnsi="Times New Roman"/>
          <w:color w:val="000000"/>
          <w:sz w:val="20"/>
        </w:rPr>
        <w:t>Competitors may infringe or otherwise violate our patents or other intellectual property rights, or those of our licensors. To counter infringement or unauthorized use or misappropriations, we or any future licensors may be required to file legal claims, which can be expensive and time-consuming. In addition, in an infringement proceeding, a court may decide that one or more of our patents or any of our current or future licensors is not valid or is unenforceable, or may refuse to stop the other party from using the technology at issue on the grounds that our or our licensors’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 patent-eligible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In any patent infringement proceeding, there is a risk that a court will decide that a patent of ours or a future licensor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future licensors’ patent claims do not cover the invention, or decide that the other party’s use of our or any future licensors’ patented technology falls under the safe harbor to patent infringement under 35 U.S.C. §271(e)(1). An adverse outcome in a litigation or proceeding involving our or any future licensors’ patents could limit our ability to assert our own or any future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there is no invalidating prior art of which we and the patent examiner were unaware during prosecution. For any patents and patent applications that we license from third parties, we may have limited or no right to participate in the defense of such licensed patents against challenge by a third party. If a defendant were to prevail on a legal assertion of invalidity or unenforceability, we would lose at least part, and perhaps all, of the patent protection on our current or future product candidates. Such a loss of patent protection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patents, any patents that may be issued as a result of our future patent applications, or other intellectual property rights, the risk-adjusted cost of bringing and enforcing such a claim or action may be too high or not in our best interest or that of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120" w:after="283"/>
        <w:jc w:val="left"/>
        <w:rPr>
          <w:rFonts w:ascii="Calibri" w:hAnsi="Calibri"/>
          <w:sz w:val="20"/>
        </w:rPr>
      </w:pPr>
      <w:r>
        <w:rPr>
          <w:rFonts w:ascii="Times New Roman" w:hAnsi="Times New Roman"/>
          <w:color w:val="000000"/>
          <w:sz w:val="20"/>
        </w:rPr>
        <w:t>As is the case with other biopharmaceutical companies, our success is heavily dependent on intellectual property, particularly patents. Obtaining, defending, maintaining and enforcing patents in the biopharmaceutical</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have the option of opting out of the jurisdiction of the UPC over the first seven years of the court’s existence and remaining as national patents in the UPC countries. Patents that remain under the jurisdiction of the UPC will be potentially vulnerable to a single UPC-based revocation challenge that, if successful, could invalidate the patent in all countries that are signatories to the UPC. We cannot predict with certainty the long-term effects of any potential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and filing, prosecuting and defending patents covering OKI-345, OKI-355 and any other product candidate throughout the world would be prohibitively expensive. In addition, the laws of some foreign countries do not protect intellectual property rights to the same extent as federal and state laws in the United States, even in jurisdictions in which we do pursue patent protection. Consequently, we may not be able to prevent third parties from practicing our or any future licensors’ inventions in all countries outside the United States, even in jurisdictions where we or any future licensors do pursue patent protection, or from selling or importing products made using our or any future licensors’ inventions in and into the United States or other jurisdictions. Competitors may use our or any future licensors’ technologies in jurisdictions where we have not obtained patent protection to develop our own products and, further, may export otherwise infringing products to territories where we may have or obtain patent protection, but where patent enforcement is not as strong as in the United States. These unauthorized competitors’ products may compete with our products in such jurisdictions and take away our market share where we do not have any issued or licensed patents, and any future patent claims or other intellectual property rights may not be effective or sufficient to prevent them from so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This could make it difficult for us to stop the infringement of our patents or the marketing of competing products in violation of our intellectual property and proprietary rights generally. In addition, certain jurisdictions do not protect to the same extent or at all inventions that constitute new methods of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In addition, some courts inside and outside of the United States may be less willing or unwilling to protect trade secrets. If we choose to go to court to stop a third party from using any of our trade secrets, we may incur substantial costs. Even if we are successful, such lawsuits would consume our time and other resources. Any of the foregoing could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may seek to rely on trade secret protection to protect proprietary know-how that is not patentable, processes for which patents are difficult to enforce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expect to rely on third parties to manufacture OKI-345, OKI-355 and any other product candidates, and we expect to collaborate with third parties on the continuing development of OKI-345, OKI-355 and any other product candidates, we must, at times, share trade secrets with them. We also expect to conduct research and development programs that may require us to share trade secrets under the terms of our partnerships or agreements with CROs. We seek to protect our proprietary technology in part by entering into agreements containing confidentiality and use restrictions and obligations, including material transfer agreements, consulting agreements, manufacturing and supply agreements, confidentiality agreements or other similar agreements with our advisors, employees, contractors, contract manufacturing organizations (or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CMOs, CROs, other service providers and consultants to publish data potentially relating to our trade secrets, although such agreements may contain certain limited publication rights. Despite our efforts to protect our trade secrets, our competitors may discover such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120" w:after="283"/>
        <w:jc w:val="left"/>
        <w:rPr>
          <w:rFonts w:ascii="Calibri" w:hAnsi="Calibri"/>
          <w:sz w:val="20"/>
        </w:rPr>
      </w:pPr>
      <w:r>
        <w:rPr>
          <w:rFonts w:ascii="Times New Roman" w:hAnsi="Times New Roman"/>
          <w:color w:val="000000"/>
          <w:sz w:val="20"/>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In addition, courts outside the United States are sometimes less willing to protect trade secrets. If we choose to go to court to stop a third party from using any of our trade secrets, we may</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substantial costs. These lawsuits may consume our time and other resources even if we are successful. For example, significant elements of our products, including confidential aspects of sample preparation, methods of manufacturing, and related processes and software, are based on unpatented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that our employees, consultants or independent contractors have wrongfully used or disclosed confidential information of their former employers or other third parties or claims asserting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employ individuals who were previously employed at other biotechnology or pharmaceutical companies, or at research institutions, including our competitors or potential competitors. Although we try to ensure that our employees, consultants and advisors do not use the proprietary information or know-how of others in their work for us, we may become subject to claims that these individuals have or we have used or disclosed intellectual property, including trade secrets or other proprietary information, of such individual’s current or former employer. Further,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also be subject to claims that former employers, consultants or other third parties have an ownership interest in our patents or patent applications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There is no guarantee of success in defending these claims, and if we fail in defending any such claims, in addition to paying monetary damages, we may lose valuable intellectual property rights, such as exclusive ownership of, or right to use, valuable intellectual property.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Even if we are successful, litigation could result in substantial costs and be a distraction to our management and other employees. Any of the foregoing could adversely affect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future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Calibri" w:hAnsi="Calibri"/>
          <w:sz w:val="20"/>
        </w:rPr>
      </w:pPr>
      <w:r>
        <w:rPr>
          <w:rFonts w:ascii="Times New Roman" w:hAnsi="Times New Roman"/>
          <w:color w:val="000000"/>
          <w:sz w:val="20"/>
        </w:rPr>
        <w:t>We intend to use registered or unregistered trademarks or trade names to brand and market ourselves and our products. Our trademarks or trade names may be challenged, infringed, circumvented, declared generic or determined to be infringing on other marks. During trademark registration proceedings, we may receive rejections of our applications by the USPTO or foreign agencies. Although we are given an opportunity to respond to such rejections, we may be unable to overcome them. In addition, in the USPTO and in comparable agencies in many foreign jurisdictions, third parties are given an opportunity to oppose pending trademark applications and to seek to</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cancel registered trademarks. Opposition or cancellation proceedings may be filed against our trademarks, which may not survive such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build name recognition among potential partners or customers in our markets of interest. At times, competitors may adopt trade names or trademarks similar to those of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proprietary name we propose to use with our current or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to identify a suitable proprietary product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 may be able to make formulations or compositions that are the same as or similar to our current or future product candidates, but that are not covered by the pending patent applications or patents that we own or any pending patent applications or patents that we may in-license in the future;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 may be able to make products that are similar to our current or future product candidates, but that are not covered by the patents that we own or exclusively license and have the right to enforce;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or our future licensors or collaborators, may not have been the first to make the inventions covered by the issued patents or pending patent applications that we own or may in-license in the future;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or our future licensors, may not have been the first to file patent applications covering certain of our or those licensors’ inventions;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or otherwise violating our owned intellectual property rights or any patent applications that we may license in the future;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is possible that our pending patent applications or those that we may own or license in the future will not lead to issued patents;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patents that we either own or that we may license in the future may be revoked, modified or held valid or unenforceable, as a result of legal challenges by our competitors;</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9882" w:type="dxa"/>
        <w:jc w:val="left"/>
        <w:tblInd w:w="0" w:type="dxa"/>
        <w:tblLayout w:type="fixed"/>
        <w:tblCellMar>
          <w:top w:w="28" w:type="dxa"/>
          <w:left w:w="28" w:type="dxa"/>
          <w:bottom w:w="28" w:type="dxa"/>
          <w:right w:w="28" w:type="dxa"/>
        </w:tblCellMar>
      </w:tblPr>
      <w:tblGrid>
        <w:gridCol w:w="161"/>
        <w:gridCol w:w="109"/>
        <w:gridCol w:w="146"/>
        <w:gridCol w:w="94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patents that we either own or may license in the future may not provide us with any competitive advantages;</w:t>
            </w:r>
          </w:p>
        </w:tc>
      </w:tr>
    </w:tbl>
    <w:tbl>
      <w:tblPr>
        <w:tblW w:w="9912" w:type="dxa"/>
        <w:jc w:val="left"/>
        <w:tblInd w:w="0" w:type="dxa"/>
        <w:tblLayout w:type="fixed"/>
        <w:tblCellMar>
          <w:top w:w="28" w:type="dxa"/>
          <w:left w:w="28" w:type="dxa"/>
          <w:bottom w:w="28" w:type="dxa"/>
          <w:right w:w="28" w:type="dxa"/>
        </w:tblCellMar>
      </w:tblPr>
      <w:tblGrid>
        <w:gridCol w:w="161"/>
        <w:gridCol w:w="109"/>
        <w:gridCol w:w="146"/>
        <w:gridCol w:w="94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 in the future on a non-exclusive basis;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competitors may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tc>
      </w:tr>
    </w:tbl>
    <w:tbl>
      <w:tblPr>
        <w:tblW w:w="6732" w:type="dxa"/>
        <w:jc w:val="left"/>
        <w:tblInd w:w="0" w:type="dxa"/>
        <w:tblLayout w:type="fixed"/>
        <w:tblCellMar>
          <w:top w:w="28" w:type="dxa"/>
          <w:left w:w="28" w:type="dxa"/>
          <w:bottom w:w="28" w:type="dxa"/>
          <w:right w:w="28" w:type="dxa"/>
        </w:tblCellMar>
      </w:tblPr>
      <w:tblGrid>
        <w:gridCol w:w="161"/>
        <w:gridCol w:w="109"/>
        <w:gridCol w:w="146"/>
        <w:gridCol w:w="63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based on our or any future licensors’ patent applications, including whether the patent applications that we own or, in the future, in-license, will result in issued patents with claims directed to our product candidates or uses thereof in the United States or in other foreign countries;</w:t>
            </w:r>
          </w:p>
        </w:tc>
      </w:tr>
    </w:tbl>
    <w:tbl>
      <w:tblPr>
        <w:tblW w:w="6402" w:type="dxa"/>
        <w:jc w:val="left"/>
        <w:tblInd w:w="0" w:type="dxa"/>
        <w:tblLayout w:type="fixed"/>
        <w:tblCellMar>
          <w:top w:w="28" w:type="dxa"/>
          <w:left w:w="28" w:type="dxa"/>
          <w:bottom w:w="28" w:type="dxa"/>
          <w:right w:w="28" w:type="dxa"/>
        </w:tblCellMar>
      </w:tblPr>
      <w:tblGrid>
        <w:gridCol w:w="161"/>
        <w:gridCol w:w="109"/>
        <w:gridCol w:w="146"/>
        <w:gridCol w:w="59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court may not hold that our patents are valid, enforceable or infringed;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need to initiate litigation or administrative proceedings to enforce or defend our patent rights, which will be costly whether we win or lose;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tc>
      </w:tr>
    </w:tbl>
    <w:tbl>
      <w:tblPr>
        <w:tblW w:w="7197" w:type="dxa"/>
        <w:jc w:val="left"/>
        <w:tblInd w:w="0" w:type="dxa"/>
        <w:tblLayout w:type="fixed"/>
        <w:tblCellMar>
          <w:top w:w="28" w:type="dxa"/>
          <w:left w:w="28" w:type="dxa"/>
          <w:bottom w:w="28" w:type="dxa"/>
          <w:right w:w="28" w:type="dxa"/>
        </w:tblCellMar>
      </w:tblPr>
      <w:tblGrid>
        <w:gridCol w:w="161"/>
        <w:gridCol w:w="109"/>
        <w:gridCol w:w="146"/>
        <w:gridCol w:w="67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fail to adequately protect and police our trademarks and trade secrets;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including if others obtain patents claiming subject matter similar to or improving the subject matter covered by our patent applications.</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or partnership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tbl>
      <w:tblPr>
        <w:tblW w:w="10197" w:type="dxa"/>
        <w:jc w:val="left"/>
        <w:tblInd w:w="0" w:type="dxa"/>
        <w:tblLayout w:type="fixed"/>
        <w:tblCellMar>
          <w:top w:w="28" w:type="dxa"/>
          <w:left w:w="28" w:type="dxa"/>
          <w:bottom w:w="28" w:type="dxa"/>
          <w:right w:w="28" w:type="dxa"/>
        </w:tblCellMar>
      </w:tblPr>
      <w:tblGrid>
        <w:gridCol w:w="161"/>
        <w:gridCol w:w="109"/>
        <w:gridCol w:w="146"/>
        <w:gridCol w:w="97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our strategic focus due to the acquisition of competitive products, availability of funding or other external factors, such as a business combination that diverts resources or creates competing priorities;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current and future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tc>
      </w:tr>
    </w:tbl>
    <w:tbl>
      <w:tblPr>
        <w:tblW w:w="9102" w:type="dxa"/>
        <w:jc w:val="left"/>
        <w:tblInd w:w="0" w:type="dxa"/>
        <w:tblLayout w:type="fixed"/>
        <w:tblCellMar>
          <w:top w:w="28" w:type="dxa"/>
          <w:left w:w="28" w:type="dxa"/>
          <w:bottom w:w="28" w:type="dxa"/>
          <w:right w:w="28" w:type="dxa"/>
        </w:tblCellMar>
      </w:tblPr>
      <w:tblGrid>
        <w:gridCol w:w="161"/>
        <w:gridCol w:w="109"/>
        <w:gridCol w:w="146"/>
        <w:gridCol w:w="86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w:t>
            </w:r>
            <w:r>
              <w:rPr>
                <w:rFonts w:ascii="Calibri" w:hAnsi="Calibri"/>
                <w:color w:val="000000"/>
                <w:sz w:val="20"/>
              </w:rPr>
              <w:t xml:space="preserve">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current or future product candidates or that results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 such agreements may be terminated, we may be required to pay damages and could lose intellectual property rights that are necessary for developing and protecting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license or otherwise acquire development or commercialization rights to current and future product candidates or data from third parties. If any future licensors fail to prosecute, maintain, enforce and defend such patents, or lose rights to those patents, the rights we have licensed may be reduced or eliminated, and our right to develop and commercialize future product candidates that may be subject of such licensed rights could be adversely affected. In spite of our efforts, any future licensors might conclude that we are in material breach of obligations under our license agreements.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If such in-licenses are terminated, or if the underlying patents fail to provide the intended exclusivity, our competitors will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Any of these events could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our licensors regarding intellectual property subject to a license agreement, including:</w:t>
      </w:r>
    </w:p>
    <w:tbl>
      <w:tblPr>
        <w:tblW w:w="8187" w:type="dxa"/>
        <w:jc w:val="left"/>
        <w:tblInd w:w="0" w:type="dxa"/>
        <w:tblLayout w:type="fixed"/>
        <w:tblCellMar>
          <w:top w:w="28" w:type="dxa"/>
          <w:left w:w="28" w:type="dxa"/>
          <w:bottom w:w="28" w:type="dxa"/>
          <w:right w:w="28" w:type="dxa"/>
        </w:tblCellMar>
      </w:tblPr>
      <w:tblGrid>
        <w:gridCol w:w="161"/>
        <w:gridCol w:w="109"/>
        <w:gridCol w:w="146"/>
        <w:gridCol w:w="777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tc>
      </w:tr>
    </w:tbl>
    <w:tbl>
      <w:tblPr>
        <w:tblW w:w="6417" w:type="dxa"/>
        <w:jc w:val="left"/>
        <w:tblInd w:w="0" w:type="dxa"/>
        <w:tblLayout w:type="fixed"/>
        <w:tblCellMar>
          <w:top w:w="28" w:type="dxa"/>
          <w:left w:w="28" w:type="dxa"/>
          <w:bottom w:w="28" w:type="dxa"/>
          <w:right w:w="28" w:type="dxa"/>
        </w:tblCellMar>
      </w:tblPr>
      <w:tblGrid>
        <w:gridCol w:w="161"/>
        <w:gridCol w:w="109"/>
        <w:gridCol w:w="146"/>
        <w:gridCol w:w="60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either party’s financial or other obligations under the license agreement;</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tc>
      </w:tr>
    </w:tbl>
    <w:tbl>
      <w:tblPr>
        <w:tblW w:w="9777" w:type="dxa"/>
        <w:jc w:val="left"/>
        <w:tblInd w:w="0" w:type="dxa"/>
        <w:tblLayout w:type="fixed"/>
        <w:tblCellMar>
          <w:top w:w="28" w:type="dxa"/>
          <w:left w:w="28" w:type="dxa"/>
          <w:bottom w:w="28" w:type="dxa"/>
          <w:right w:w="28" w:type="dxa"/>
        </w:tblCellMar>
      </w:tblPr>
      <w:tblGrid>
        <w:gridCol w:w="161"/>
        <w:gridCol w:w="109"/>
        <w:gridCol w:w="146"/>
        <w:gridCol w:w="93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right to sublicense patents and other rights under our collaborative development relationships to third parties;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tc>
      </w:tr>
    </w:tbl>
    <w:tbl>
      <w:tblPr>
        <w:tblW w:w="3867" w:type="dxa"/>
        <w:jc w:val="left"/>
        <w:tblInd w:w="0" w:type="dxa"/>
        <w:tblLayout w:type="fixed"/>
        <w:tblCellMar>
          <w:top w:w="28" w:type="dxa"/>
          <w:left w:w="28" w:type="dxa"/>
          <w:bottom w:w="28" w:type="dxa"/>
          <w:right w:w="28" w:type="dxa"/>
        </w:tblCellMar>
      </w:tblPr>
      <w:tblGrid>
        <w:gridCol w:w="161"/>
        <w:gridCol w:w="109"/>
        <w:gridCol w:w="146"/>
        <w:gridCol w:w="34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right to transfer or assign the license;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the joint creation or use of intellectual property by any of our licensors and us and our partners; and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4512" w:type="dxa"/>
        <w:jc w:val="left"/>
        <w:tblInd w:w="0" w:type="dxa"/>
        <w:tblLayout w:type="fixed"/>
        <w:tblCellMar>
          <w:top w:w="28" w:type="dxa"/>
          <w:left w:w="28" w:type="dxa"/>
          <w:bottom w:w="28" w:type="dxa"/>
          <w:right w:w="28" w:type="dxa"/>
        </w:tblCellMar>
      </w:tblPr>
      <w:tblGrid>
        <w:gridCol w:w="161"/>
        <w:gridCol w:w="109"/>
        <w:gridCol w:w="146"/>
        <w:gridCol w:w="40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priority of invention of patented technology.</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license prevent or impair our ability to maintain our licensing arrangements on acceptable terms, we may not be able to successfully develop and commercialize the affected product candidates, which would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of our current or future agreements with third parties may limit or delay our ability to consummate certain transactions, may impact the value of those transactions, or may limit our ability to pursue certain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or our current or future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ownership, claim scope or requests for patent term adjustments. If our current or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where we have the right to control patent prosecution of patents and patent applications under a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acquired technologies and current or future licensed technology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limited in our ability to utilize acquired technologies or current or future licensed technologies, or if we lose our rights to critical acquired or in-licensed technology, we may be unable to successfully develop, out-license, market and sell our products. Our business strategy may depend on the successful development of acquired technologies, and current or future licensed technology, into commercial products. Therefore, any limitations on our ability to utilize these technologies may impair our ability to develop, out-license or market and sell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license or acquire new or necessary intellectual property rights or technology from third parties.</w:t>
      </w:r>
    </w:p>
    <w:p>
      <w:pPr>
        <w:pStyle w:val="TextBody"/>
        <w:bidi w:val="0"/>
        <w:spacing w:before="120" w:after="283"/>
        <w:jc w:val="left"/>
        <w:rPr>
          <w:rFonts w:ascii="Calibri" w:hAnsi="Calibri"/>
          <w:sz w:val="20"/>
        </w:rPr>
      </w:pPr>
      <w:r>
        <w:rPr>
          <w:rFonts w:ascii="Times New Roman" w:hAnsi="Times New Roman"/>
          <w:color w:val="000000"/>
          <w:sz w:val="20"/>
        </w:rPr>
        <w:t>Because our development programs may in the future require the use of proprietary rights held by third parties, the growth of our business may depend in part on our ability to acquire, in-license or use these third-party proprietary rights. Further, other parties, including our competitors, may have patents and have filed and are likely filing patent applications potentially relevant to our business. In order to avoid infringing these patents, we may find it necessary or prudent to obtain licenses to such patents from such parties. The licensing or acquisition of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No assurance can be given that we will be successful in-licensing any additional rights or technologies from third parties.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licenses may detrimentally affect our planned development of our current or future product candidates and could increase the cost and extend the timelines associated with the development of such other product candidates, and we may have to abandon development of the relevant program or product candidate. Any of the foregoing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their manufacture or future sale or, with respect to their future sale, an obligation on our part to pay royalties or other forms of compensation to third parties, which could be significant.</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Our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receive regulatory approval of our product candidates, we will be subject to ongoing regulatory obligations and continued regulatory oversight, which may result in significant additional expense, and we may experience unanticipated problems with our product candidates or be subject to penalties if we fail to comply with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regulatory approval for one or more of our product candidates, such product candidates will be subject to ongoing regulatory requirements applicable to manufacturing, labeling, packaging, storage, advertising, promoting, sampling, record-keeping and submission of safety or other post-market information, among other things. Any regulatory approvals that we receive for our product candidates will require surveillance to monitor safety and efficacy. The FDA may also require a REMS, limitations on the approved indicated uses for which the product candidate may be marketed or to the conditions of approval, or requirements that we conduct potentially costly post-market testing and surveillance studies, including Phase 4 trials and surveillance to monitor the quality, safety and efficacy of the product candidate. An unsuccessful post-marketing study or failure to complete such a study could result in requirements for a medication guide, physician communication plans or additional elements to ensure safe use, such as restricted distribution methods, patient registries and other risk minimization tools as conditions of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new legislation addressing drug safety issues could result in delays in product development or commercialization or increased compliance costs. We must also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NDA must submit new or supplemental applications and obtain prior approval for certain changes to the approved product, product labeling or manufacturing process. A company that is found to have improperly promoted off-label uses of our products may be subject to significant civil, criminal and administrative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drug manufacturers are subject to payment of user fees and continual review and periodic inspections by the FDA and other regulatory authorities for compliance with FDA’s current Good Manufacturing Practices (“cGMPs”) and adherence to commitments made in the NDA or foreign marketing application. If we, the FDA or a comparable foreign regulatory authority discovers previously unknown problems with our product candidates, such as adverse events of unanticipated severity or frequency, or problems with the facility where the drug was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us to comply with applicable regulatory requirements following approval of any product candidates may result in, among other things: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delays and supply disruptions where regulatory inspections identify observations of noncompliance requiring remediation;</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revisions to the labeling, including limitation on approved uses or the addition of additional warnings, contraindications or other safety information, including boxed warnings;</w:t>
            </w:r>
          </w:p>
        </w:tc>
      </w:tr>
    </w:tbl>
    <w:tbl>
      <w:tblPr>
        <w:tblW w:w="6552" w:type="dxa"/>
        <w:jc w:val="left"/>
        <w:tblInd w:w="0" w:type="dxa"/>
        <w:tblLayout w:type="fixed"/>
        <w:tblCellMar>
          <w:top w:w="28" w:type="dxa"/>
          <w:left w:w="28" w:type="dxa"/>
          <w:bottom w:w="28" w:type="dxa"/>
          <w:right w:w="28" w:type="dxa"/>
        </w:tblCellMar>
      </w:tblPr>
      <w:tblGrid>
        <w:gridCol w:w="161"/>
        <w:gridCol w:w="109"/>
        <w:gridCol w:w="146"/>
        <w:gridCol w:w="613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imposition of a REMS, which may include distribution or use restrictions;</w:t>
            </w:r>
          </w:p>
        </w:tc>
      </w:tr>
    </w:tbl>
    <w:tbl>
      <w:tblPr>
        <w:tblW w:w="9117" w:type="dxa"/>
        <w:jc w:val="left"/>
        <w:tblInd w:w="0" w:type="dxa"/>
        <w:tblLayout w:type="fixed"/>
        <w:tblCellMar>
          <w:top w:w="28" w:type="dxa"/>
          <w:left w:w="28" w:type="dxa"/>
          <w:bottom w:w="28" w:type="dxa"/>
          <w:right w:w="28" w:type="dxa"/>
        </w:tblCellMar>
      </w:tblPr>
      <w:tblGrid>
        <w:gridCol w:w="161"/>
        <w:gridCol w:w="109"/>
        <w:gridCol w:w="146"/>
        <w:gridCol w:w="87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requirements to conduct additional post-marketing clinical trials to demonstrate the safety of the product;</w:t>
            </w:r>
          </w:p>
        </w:tc>
      </w:tr>
    </w:tbl>
    <w:tbl>
      <w:tblPr>
        <w:tblW w:w="4617" w:type="dxa"/>
        <w:jc w:val="left"/>
        <w:tblInd w:w="0" w:type="dxa"/>
        <w:tblLayout w:type="fixed"/>
        <w:tblCellMar>
          <w:top w:w="28" w:type="dxa"/>
          <w:left w:w="28" w:type="dxa"/>
          <w:bottom w:w="28" w:type="dxa"/>
          <w:right w:w="28" w:type="dxa"/>
        </w:tblCellMar>
      </w:tblPr>
      <w:tblGrid>
        <w:gridCol w:w="161"/>
        <w:gridCol w:w="109"/>
        <w:gridCol w:w="146"/>
        <w:gridCol w:w="42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suspension or withdrawal of regulatory approvals;</w:t>
            </w:r>
          </w:p>
        </w:tc>
      </w:tr>
    </w:tbl>
    <w:tbl>
      <w:tblPr>
        <w:tblW w:w="6597" w:type="dxa"/>
        <w:jc w:val="left"/>
        <w:tblInd w:w="0" w:type="dxa"/>
        <w:tblLayout w:type="fixed"/>
        <w:tblCellMar>
          <w:top w:w="28" w:type="dxa"/>
          <w:left w:w="28" w:type="dxa"/>
          <w:bottom w:w="28" w:type="dxa"/>
          <w:right w:w="28" w:type="dxa"/>
        </w:tblCellMar>
      </w:tblPr>
      <w:tblGrid>
        <w:gridCol w:w="161"/>
        <w:gridCol w:w="109"/>
        <w:gridCol w:w="146"/>
        <w:gridCol w:w="61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fines, untitled letters,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refusal by regulatory authorities to approve pending applications or supplements to approved applications filed by us, or suspension or revocation of approvals;</w:t>
            </w:r>
          </w:p>
        </w:tc>
      </w:tr>
    </w:tbl>
    <w:tbl>
      <w:tblPr>
        <w:tblW w:w="8472" w:type="dxa"/>
        <w:jc w:val="left"/>
        <w:tblInd w:w="0" w:type="dxa"/>
        <w:tblLayout w:type="fixed"/>
        <w:tblCellMar>
          <w:top w:w="28" w:type="dxa"/>
          <w:left w:w="28" w:type="dxa"/>
          <w:bottom w:w="28" w:type="dxa"/>
          <w:right w:w="28" w:type="dxa"/>
        </w:tblCellMar>
      </w:tblPr>
      <w:tblGrid>
        <w:gridCol w:w="161"/>
        <w:gridCol w:w="109"/>
        <w:gridCol w:w="146"/>
        <w:gridCol w:w="80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a product candidates; and</w:t>
            </w:r>
          </w:p>
        </w:tc>
      </w:tr>
    </w:tbl>
    <w:tbl>
      <w:tblPr>
        <w:tblW w:w="5322" w:type="dxa"/>
        <w:jc w:val="left"/>
        <w:tblInd w:w="0" w:type="dxa"/>
        <w:tblLayout w:type="fixed"/>
        <w:tblCellMar>
          <w:top w:w="28" w:type="dxa"/>
          <w:left w:w="28" w:type="dxa"/>
          <w:bottom w:w="28" w:type="dxa"/>
          <w:right w:w="28" w:type="dxa"/>
        </w:tblCellMar>
      </w:tblPr>
      <w:tblGrid>
        <w:gridCol w:w="161"/>
        <w:gridCol w:w="109"/>
        <w:gridCol w:w="146"/>
        <w:gridCol w:w="49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and clinical development, and the FDA’s and other agencies’ ability to exercise their regulatory authority, including the FDA’s pre-approval inspections and timely review of any regulatory filings or applications we submit to the FDA. To the extent any executive actions impose constraints on the FDA’s ability to engage in oversight and implementation activities in the normal course, our business may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Disruptions at the FDA, the SEC or other government agencies caused by funding shortages, global health concerns, government shutdown, or a lapse of U.S. government appropriations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Changes in the leadership of the FDA and other federal agencies under the current U.S. presidential administration, as well as policy changes including return-to-office directives, hiring freezes, and layoffs, may also lead to changes in the operations of the FDA, which may have a material impact on the industry.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Calibri" w:hAnsi="Calibri"/>
          <w:sz w:val="20"/>
        </w:rPr>
      </w:pPr>
      <w:r>
        <w:rPr>
          <w:rFonts w:ascii="Times New Roman" w:hAnsi="Times New Roman"/>
          <w:color w:val="000000"/>
          <w:sz w:val="20"/>
        </w:rPr>
        <w:t>Disruptions at the FDA and other agencies may also slow the time necessary for new drugs to be reviewed or approved by necessary government agencies, which would adversely affect our business. If a prolonged government shutdown, a lapse of U.S. government appropriations, or other disruption occurs, or if global health or other</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concerns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occurs, as it has previously, either for global health related reasons or other reasons, preventing the FDA or other regulatory authorities from conducting business as usual or conducting inspections, reviews or other regulatory activities, it could significantly impact the ability of the FDA to timely review and process our regulatory submissions, which could have a material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difficulties from changes to current regulations and future legislation. Healthcare legislative measures aimed at reducing healthcare costs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tbl>
      <w:tblPr>
        <w:tblW w:w="4167" w:type="dxa"/>
        <w:jc w:val="left"/>
        <w:tblInd w:w="0" w:type="dxa"/>
        <w:tblLayout w:type="fixed"/>
        <w:tblCellMar>
          <w:top w:w="28" w:type="dxa"/>
          <w:left w:w="28" w:type="dxa"/>
          <w:bottom w:w="28" w:type="dxa"/>
          <w:right w:w="28" w:type="dxa"/>
        </w:tblCellMar>
      </w:tblPr>
      <w:tblGrid>
        <w:gridCol w:w="161"/>
        <w:gridCol w:w="109"/>
        <w:gridCol w:w="146"/>
        <w:gridCol w:w="37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to our manufacturing arrangements;</w:t>
            </w:r>
          </w:p>
        </w:tc>
      </w:tr>
    </w:tbl>
    <w:tbl>
      <w:tblPr>
        <w:tblW w:w="4377" w:type="dxa"/>
        <w:jc w:val="left"/>
        <w:tblInd w:w="0" w:type="dxa"/>
        <w:tblLayout w:type="fixed"/>
        <w:tblCellMar>
          <w:top w:w="28" w:type="dxa"/>
          <w:left w:w="28" w:type="dxa"/>
          <w:bottom w:w="28" w:type="dxa"/>
          <w:right w:w="28" w:type="dxa"/>
        </w:tblCellMar>
      </w:tblPr>
      <w:tblGrid>
        <w:gridCol w:w="161"/>
        <w:gridCol w:w="109"/>
        <w:gridCol w:w="146"/>
        <w:gridCol w:w="39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or modifications to product labeling;</w:t>
            </w:r>
          </w:p>
        </w:tc>
      </w:tr>
    </w:tbl>
    <w:tbl>
      <w:tblPr>
        <w:tblW w:w="4407" w:type="dxa"/>
        <w:jc w:val="left"/>
        <w:tblInd w:w="0" w:type="dxa"/>
        <w:tblLayout w:type="fixed"/>
        <w:tblCellMar>
          <w:top w:w="28" w:type="dxa"/>
          <w:left w:w="28" w:type="dxa"/>
          <w:bottom w:w="28" w:type="dxa"/>
          <w:right w:w="28" w:type="dxa"/>
        </w:tblCellMar>
      </w:tblPr>
      <w:tblGrid>
        <w:gridCol w:w="161"/>
        <w:gridCol w:w="109"/>
        <w:gridCol w:w="146"/>
        <w:gridCol w:w="39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recall or discontinuation of our products; or</w:t>
            </w:r>
          </w:p>
        </w:tc>
      </w:tr>
    </w:tbl>
    <w:tbl>
      <w:tblPr>
        <w:tblW w:w="3822" w:type="dxa"/>
        <w:jc w:val="left"/>
        <w:tblInd w:w="0" w:type="dxa"/>
        <w:tblLayout w:type="fixed"/>
        <w:tblCellMar>
          <w:top w:w="28" w:type="dxa"/>
          <w:left w:w="28" w:type="dxa"/>
          <w:bottom w:w="28" w:type="dxa"/>
          <w:right w:w="28" w:type="dxa"/>
        </w:tblCellMar>
      </w:tblPr>
      <w:tblGrid>
        <w:gridCol w:w="161"/>
        <w:gridCol w:w="109"/>
        <w:gridCol w:w="146"/>
        <w:gridCol w:w="34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record-keeping requirements.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either in the United States or abroad, including as a result of the current U.S. presidential administration. Any such changes imposed on us could adversely affect the operation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initiatives to contain healthcare costs. For example, in 2010, the Patient Protection and Affordable Care Act, as amended by the Health Care and Education Reconciliation Act of 2010 (as amended, the “ACA”), was passed, which substantially changed the way healthcare is financed by both governmental and private insurers and significantly impacted the U.S. pharmaceutical industry. The ACA contained provisions that may reduce the profitability of drug products through, among other things,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w:t>
      </w:r>
    </w:p>
    <w:p>
      <w:pPr>
        <w:pStyle w:val="TextBody"/>
        <w:bidi w:val="0"/>
        <w:spacing w:before="120" w:after="283"/>
        <w:jc w:val="left"/>
        <w:rPr>
          <w:rFonts w:ascii="Calibri" w:hAnsi="Calibri"/>
          <w:sz w:val="20"/>
        </w:rPr>
      </w:pPr>
      <w:r>
        <w:rPr>
          <w:rFonts w:ascii="Times New Roman" w:hAnsi="Times New Roman"/>
          <w:color w:val="000000"/>
          <w:sz w:val="20"/>
        </w:rPr>
        <w:t>There has been increasing legislative and enforcement interest in the United States with respect to specialty drug pricing practices. In August 2022, Congress passed the Inflation Reduction Act of 2022 (the “IRA”), which includes prescription drug provisions that have significant implications for the pharmaceutical industry and Medicare beneficiaries, including among other changes allowing the federal government to negotiate a maximum fair price for certain high-priced single-source Medicare drugs, imposing penalties and excise taxes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HHS has issued and will continue to issue and update guidance as these programs are implemented. Only high-expenditure, single-source drugs that have been approved for at least seven years (11 years for single-source biologics)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In June 2026, the CMS issued a proposed rule that would codify policies established in guidance documents for the Medicare Drug Price Negotiation</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for initial price applicability year 2029 and beyond. CMS plans to release guidance to implement policies related to the effectuation of the maximum fair pricing for the Medicare Drug Price Negotiation Program for 2028. However, various industry stakeholders, including pharmaceutical companies, the U.S. Chamber of Commerce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government measures that use most-favored-nation pricing targets for prescription drugs, including the use of international pricing reference to set drug prices in the United States, or increase generic and biosimilar drug entry sooner than expected, could have a material adverse effect on our industry, ability to set adequate pricing for new drugs to recover research and development costs, or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chains or manufacturing in the United States. The impact of these judicial challenges, as well as future legislative, executive and administrative actions and any future healthcare measures and agency rules implemented by the government on us and the pharmaceutical industry as a whole, is difficult or impossible to predict.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prescription drug pricing, including price or patient reimbursement constraints, discounts, restrictions on certain product access and marketing cost disclosure and transparency measures and, in some cases, designed to encourage bulk purchasing and importation from other countries. A number of states are considering or have recently enacted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what initiatives may be adopted in the future. The continuing efforts of the government, insurance companies, managed care organizations and other payors of healthcare services to contain or reduce costs of healthcare or impose price controls may adversely affect:</w:t>
      </w:r>
    </w:p>
    <w:tbl>
      <w:tblPr>
        <w:tblW w:w="6447" w:type="dxa"/>
        <w:jc w:val="left"/>
        <w:tblInd w:w="0" w:type="dxa"/>
        <w:tblLayout w:type="fixed"/>
        <w:tblCellMar>
          <w:top w:w="28" w:type="dxa"/>
          <w:left w:w="28" w:type="dxa"/>
          <w:bottom w:w="28" w:type="dxa"/>
          <w:right w:w="28" w:type="dxa"/>
        </w:tblCellMar>
      </w:tblPr>
      <w:tblGrid>
        <w:gridCol w:w="161"/>
        <w:gridCol w:w="109"/>
        <w:gridCol w:w="146"/>
        <w:gridCol w:w="60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demand for our product candidates, if we obtain regulatory approval;</w:t>
            </w:r>
          </w:p>
        </w:tc>
      </w:tr>
    </w:tbl>
    <w:tbl>
      <w:tblPr>
        <w:tblW w:w="6672" w:type="dxa"/>
        <w:jc w:val="left"/>
        <w:tblInd w:w="0" w:type="dxa"/>
        <w:tblLayout w:type="fixed"/>
        <w:tblCellMar>
          <w:top w:w="28" w:type="dxa"/>
          <w:left w:w="28" w:type="dxa"/>
          <w:bottom w:w="28" w:type="dxa"/>
          <w:right w:w="28" w:type="dxa"/>
        </w:tblCellMar>
      </w:tblPr>
      <w:tblGrid>
        <w:gridCol w:w="161"/>
        <w:gridCol w:w="109"/>
        <w:gridCol w:w="146"/>
        <w:gridCol w:w="62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set a competitive price that we believe is fair for our products;</w:t>
            </w:r>
          </w:p>
        </w:tc>
      </w:tr>
    </w:tbl>
    <w:tbl>
      <w:tblPr>
        <w:tblW w:w="6147" w:type="dxa"/>
        <w:jc w:val="left"/>
        <w:tblInd w:w="0" w:type="dxa"/>
        <w:tblLayout w:type="fixed"/>
        <w:tblCellMar>
          <w:top w:w="28" w:type="dxa"/>
          <w:left w:w="28" w:type="dxa"/>
          <w:bottom w:w="28" w:type="dxa"/>
          <w:right w:w="28" w:type="dxa"/>
        </w:tblCellMar>
      </w:tblPr>
      <w:tblGrid>
        <w:gridCol w:w="161"/>
        <w:gridCol w:w="109"/>
        <w:gridCol w:w="146"/>
        <w:gridCol w:w="57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tc>
      </w:tr>
    </w:tbl>
    <w:tbl>
      <w:tblPr>
        <w:tblW w:w="4542" w:type="dxa"/>
        <w:jc w:val="left"/>
        <w:tblInd w:w="0" w:type="dxa"/>
        <w:tblLayout w:type="fixed"/>
        <w:tblCellMar>
          <w:top w:w="28" w:type="dxa"/>
          <w:left w:w="28" w:type="dxa"/>
          <w:bottom w:w="28" w:type="dxa"/>
          <w:right w:w="28" w:type="dxa"/>
        </w:tblCellMar>
      </w:tblPr>
      <w:tblGrid>
        <w:gridCol w:w="161"/>
        <w:gridCol w:w="109"/>
        <w:gridCol w:w="146"/>
        <w:gridCol w:w="41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level of taxes that we are required to pay; and</w:t>
            </w:r>
          </w:p>
        </w:tc>
      </w:tr>
    </w:tbl>
    <w:tbl>
      <w:tblPr>
        <w:tblW w:w="2667" w:type="dxa"/>
        <w:jc w:val="left"/>
        <w:tblInd w:w="0" w:type="dxa"/>
        <w:tblLayout w:type="fixed"/>
        <w:tblCellMar>
          <w:top w:w="28" w:type="dxa"/>
          <w:left w:w="28" w:type="dxa"/>
          <w:bottom w:w="28" w:type="dxa"/>
          <w:right w:w="28" w:type="dxa"/>
        </w:tblCellMar>
      </w:tblPr>
      <w:tblGrid>
        <w:gridCol w:w="161"/>
        <w:gridCol w:w="109"/>
        <w:gridCol w:w="146"/>
        <w:gridCol w:w="22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availability of capital.</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cost containment measures or other healthcare reforms may lower the pricing of competitor products or procedures, which in turn may constrain the pricing of our product candidates, if approved, and prevent us from being able to generate revenue, attain profitability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biotechnology products. We cannot be sure to what extent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federal and state healthcare fraud and abuse laws, false claims laws, transparency laws and health information privacy and security laws, which could expose us to, among other things, criminal sanctions, civil penalties, contractual damages,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future arrangements with healthcare professionals, clinical investigators, CROs, and customers may expose us to broadly applicable fraud and abuse and other healthcare laws and regulations that may constrain the business or financial arrangements and relationships through which we plan to market, sell and distribute products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that may affect our ability to operate include, but are not limited to:</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federal AKS,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There are a number of statutory exceptions and regulatory safe harbors protecting some common activities from prosecution, but the exceptions and safe harbors are drawn narrowly and require strict compliance in order to offer protection. Violations are subject to civil and criminal fines and penalties, plus up to three times the remuneration involved, imprisonment and exclusion from government healthcare programs;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civil and criminal false claims laws, including the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AKS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Times New Roman" w:hAnsi="Times New Roman"/>
                <w:color w:val="000000"/>
                <w:sz w:val="20"/>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w:t>
            </w:r>
            <w:r>
              <w:rPr>
                <w:rFonts w:ascii="Calibri" w:hAnsi="Calibri"/>
                <w:color w:val="000000"/>
                <w:sz w:val="20"/>
              </w:rPr>
              <w:t xml:space="preserve">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items or services relating to healthcare matters. Similar to the AKS, a person or entity can be found guilty of violating HIPAA without actual knowledge of the statute or specific intent to violate it;</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federal Physician Payments Sunshine Act, created under the ACA and its implementing regulations, which requires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analogous and related state and foreign laws and regulations, such as state and foreign anti-kickback, false claims, consumer protection and unfair competition laws that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exceptions and regulatory safe harbors, it is possible that some of our business activities, including our advisory board arrangements with physicians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120" w:after="283"/>
        <w:jc w:val="left"/>
        <w:rPr>
          <w:rFonts w:ascii="Calibri" w:hAnsi="Calibri"/>
          <w:sz w:val="20"/>
        </w:rPr>
      </w:pPr>
      <w:r>
        <w:rPr>
          <w:rFonts w:ascii="Times New Roman" w:hAnsi="Times New Roman"/>
          <w:color w:val="000000"/>
          <w:sz w:val="20"/>
        </w:rPr>
        <w:t>We are exposed to the risk that our employees, independent contractors, consultants, commercial collaborators, principal investigators, CROs, suppliers, and vendors may engage in misconduct or other improper activities.</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integrity oversight and reporting obligations, contractual damages, reputational harm, diminished profits and future earnings, and the curtailment or restructuring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and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matters, U.S. and foreign anti-corruption, anti-money laundering, export control, sanctions and other trade laws and regulations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such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may be held liable for the corrupt or other illegal activities of our personnel, agents or partners even if we do not explicitly authorize or have prior knowledge of such activities.</w:t>
      </w:r>
    </w:p>
    <w:p>
      <w:pPr>
        <w:pStyle w:val="TextBody"/>
        <w:bidi w:val="0"/>
        <w:spacing w:before="120" w:after="283"/>
        <w:jc w:val="left"/>
        <w:rPr>
          <w:rFonts w:ascii="Calibri" w:hAnsi="Calibri"/>
          <w:sz w:val="20"/>
        </w:rPr>
      </w:pPr>
      <w:r>
        <w:rPr>
          <w:rFonts w:ascii="Times New Roman" w:hAnsi="Times New Roman"/>
          <w:b/>
          <w:i/>
          <w:color w:val="000000"/>
          <w:sz w:val="20"/>
        </w:rPr>
        <w:t>Restrictive laws and regulations govern the collection, use, transfer, and other processing of personal information.</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In conducting and enrolling patients in current or future clinical trials, we are subject to restrictions relating to privacy, data protection, and cybersecurity, and may be subject to additional restrictions associated with clinical</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in the future. For example, the collection, use, storage, disclosure, transfer, or other processing of personal data regarding individuals in the EU, including personal health data, is subject to the General Data Protection Regulation (“GDPR”), which is wide-ranging in scope and imposes numerous requirements on companies that process personal data. The GDPR permits data protection authorities to impose large penalties for violations, including potential fines of up to €20 million or 4% of annual global revenues, whichever is greater, for the most serious violations. The GDPR also confers a private right of action on data subjects and consumer associations. Certain aspects of cross-border data transfers under the GDPR are uncertain as the result of legal proceedings in the EU, including a July 2020 decision by the Court of Justice for the European Union (“CJEU”) that invalidated the EU-U.S. Privacy Shield and called into question the efficacy and legality of using standard contractual clauses (“SCCs”). To address certain concerns of the CJEU, the European Commission issued revised SCCs in June 2021. The EU also has enacted numerous new laws and regulations addressing cybersecurity.</w:t>
      </w:r>
    </w:p>
    <w:p>
      <w:pPr>
        <w:pStyle w:val="TextBody"/>
        <w:bidi w:val="0"/>
        <w:spacing w:before="120" w:after="283"/>
        <w:jc w:val="left"/>
        <w:rPr>
          <w:rFonts w:ascii="Calibri" w:hAnsi="Calibri"/>
          <w:sz w:val="20"/>
        </w:rPr>
      </w:pPr>
      <w:r>
        <w:rPr>
          <w:rFonts w:ascii="Times New Roman" w:hAnsi="Times New Roman"/>
          <w:color w:val="000000"/>
          <w:sz w:val="20"/>
        </w:rPr>
        <w:t>In the United Kingdom (“UK”), the Data Protection Act of 2018 implements and complements the GDPR and is effective along with a version of the GDPR referred to as the UK GDPR. These regimes authorize significant fines, up to the greater of £17.5 million or 4% of global turnover, and expose us to two parallel regimes and potentially divergent enforcement actions. Further, aspects of data protection in the UK remain uncertain. In 2021, the European Commission issued an adequacy decision pursuant to which personal data generally may be transferred from the EU to the UK without restriction. This adequacy decision was renewed in December 2025 to extend through December 2031. The UK’s adequacy determination may, however, be revoked or modified at any time. Additionally, the UK’s Information Commissioner’s Office has issued standard contractual clauses to support personal data transfers out of the UK (“UK SCCs”). Regulatory guidance and other developments relating to cross-border personal data transfers, including the necessity of putting in place SCCs and UK SCCs, may increase the complexity of transferring personal data across borders and may require us to engage in additional contractual negotiations or to modify our policies and practices. Other jurisdictions also increasingly maintain laws and regulations addressing privacy, data protection, and cybersecurity. We may incur liabilities, expenses, and other operational losses under the GDPR and local laws of applicable EU member states, the UK, and other regions in connection with any measures we take to comply with them.</w:t>
      </w:r>
      <w:r>
        <w:rPr>
          <w:rFonts w:ascii="Calibri" w:hAnsi="Calibri"/>
          <w:color w:val="000000"/>
          <w:sz w:val="20"/>
        </w:rPr>
        <w:t xml:space="preserve"> </w:t>
      </w:r>
    </w:p>
    <w:p>
      <w:pPr>
        <w:pStyle w:val="TextBody"/>
        <w:bidi w:val="0"/>
        <w:spacing w:before="120" w:after="283"/>
        <w:jc w:val="left"/>
        <w:rPr>
          <w:rFonts w:ascii="Calibri" w:hAnsi="Calibri"/>
          <w:sz w:val="20"/>
        </w:rPr>
      </w:pPr>
      <w:r>
        <w:rPr>
          <w:rFonts w:ascii="Times New Roman" w:hAnsi="Times New Roman"/>
          <w:color w:val="000000"/>
          <w:sz w:val="20"/>
        </w:rPr>
        <w:t>In the United States, in addition to HIPAA, HITECH, and state laws addressing health-related information, numerous federal and state laws and regulations govern the collection, use, disclosure, and other processing of information relating to individuals. In California, the California Consumer Privacy Act (“CCPA”) requires covered companies to provide disclosures to consumers about such companies’ data collection, use and sharing practices, provide such consumers ways to opt-out of certain sales or transfers of personal information, and provide consumers with additional causes of action in data breach situations. The CCPA went into effect on January 1, 2020, and was modified significantly by the California Privacy Rights Act (“CPRA”), which was approved by California voters in the 2020 election and became effective January 1, 2023. The CCPA has prompted numerous proposals for federal and state privacy legislation. Numerous U.S. states have proposed, and in certain cases enacted, laws addressing privacy and cybersecurity matters. Many of these laws are comprehensive privacy statutes imposing obligations similar to the CCPA. Certain U.S. states have also enacted laws and regulations addressing specific subject matter, such as Washington State’s My Health, My Data Act which, among other things, provides for a private right of action. The U.S. Department of Justice also has issued rules restricting, and imposing requirements in connection with, certain bulk transfers of sensitive personal information.</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U.S. and international laws and regulations relating to privacy, data protection, and cybersecurity could require us to take on more onerous obligations in our contracts, restrict our ability to collect, use, and disclose data, or, in some cases, impact our ability to operate in certain jurisdictions, and may increase our costs of doing business or require us to change our policies and practices. Any actual or alleged failure to comply with U.S. or international laws and regulations relating to privacy, data protection, or cybersecurity could result in governmental investigations, proceedings, and enforcement actions (which could include civil or criminal penalties), private litigation, adverse publicity, and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or impose other obligations or restrictions in connection with our use, retention, or other processing of information, and we may otherwise face contractual restrictions applicable to these activities.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and expect to continue to rely, on third parties, including independent clinical investigators and CROs, to conduct, supervise and monitor certain aspects of our clinical trials and preclinical studies. If these third parties do not successfully carry out their contractual duties, comply with applicable regulatory requirements and meet expected deadlines, we may not be able to obtain regulatory approval for or commercialize our product candidates, or such approval or commercialization may be delayed, and our business could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upon, and plan to continue to rely upon, third parties, including independent clinical investigators and third-party CROs, to conduct certain aspects of our preclinical studies and clinical trials and to monitor and manage data for our ongoing clinical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these parties for execution of our trials and generally do not control their activities. Nevertheless, we are responsible for ensuring that each of our studies and trials is conducted in accordance with the applicable clinical investigation plan and protocol as well as legal, regulatory and scientific standards, and our reliance on these third parties does not relieve us of our regulatory responsibilities. We and our third-party contractors and CROs are required to comply with GCPs,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CROs fails to comply with applicable GCPs, the clinical data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these investigators and CROs are not our employees, and we will not be able to control, other than by contract, the amount of resources, including time, which they devote to our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many cases, 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If any of our relationships with these third parties terminates,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of our product candidates for preclinical studies and clinical trials, and expect to continue to do so for additional clinical trials and ultimately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the infrastructure or internal capability to manufacture supplies of our product candidates for use in development and commercialization and do not intend to develop such infrastructure and capabilities. We rely, and expect to continue to rely, on third party manufacturers for the production of our product candidates for preclinical studies and clinical trials under the guidance of members of our organization. Furthermore, we rely on single-source suppliers for our drug substance manufacturing (PharmaBlock Sciences (Nanjing), Inc.) and for our drug product manufacturing (STA Pharmaceutical Hong Kong Limited). We have entered into a master services agreement with each of these service providers; however, under the terms of the master services agreements, the service provider is not obligated to enter into any particular statement of work and there is no pre-determined pricing for the manufacturing services.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preclinical studies and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are working to diversify our supply chain beyond single-source suppliers,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their agreements with us;</w:t>
            </w:r>
          </w:p>
        </w:tc>
      </w:tr>
    </w:tbl>
    <w:tbl>
      <w:tblPr>
        <w:tblW w:w="10077" w:type="dxa"/>
        <w:jc w:val="left"/>
        <w:tblInd w:w="0" w:type="dxa"/>
        <w:tblLayout w:type="fixed"/>
        <w:tblCellMar>
          <w:top w:w="28" w:type="dxa"/>
          <w:left w:w="28" w:type="dxa"/>
          <w:bottom w:w="28" w:type="dxa"/>
          <w:right w:w="28" w:type="dxa"/>
        </w:tblCellMar>
      </w:tblPr>
      <w:tblGrid>
        <w:gridCol w:w="161"/>
        <w:gridCol w:w="109"/>
        <w:gridCol w:w="146"/>
        <w:gridCol w:w="96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tc>
      </w:tr>
    </w:tbl>
    <w:tbl>
      <w:tblPr>
        <w:tblW w:w="6102" w:type="dxa"/>
        <w:jc w:val="left"/>
        <w:tblInd w:w="0" w:type="dxa"/>
        <w:tblLayout w:type="fixed"/>
        <w:tblCellMar>
          <w:top w:w="28" w:type="dxa"/>
          <w:left w:w="28" w:type="dxa"/>
          <w:bottom w:w="28" w:type="dxa"/>
          <w:right w:w="28" w:type="dxa"/>
        </w:tblCellMar>
      </w:tblPr>
      <w:tblGrid>
        <w:gridCol w:w="161"/>
        <w:gridCol w:w="109"/>
        <w:gridCol w:w="146"/>
        <w:gridCol w:w="56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breach by the third-party contractors of their agreements with us;</w:t>
            </w:r>
          </w:p>
        </w:tc>
      </w:tr>
    </w:tbl>
    <w:tbl>
      <w:tblPr>
        <w:tblW w:w="7677" w:type="dxa"/>
        <w:jc w:val="left"/>
        <w:tblInd w:w="0" w:type="dxa"/>
        <w:tblLayout w:type="fixed"/>
        <w:tblCellMar>
          <w:top w:w="28" w:type="dxa"/>
          <w:left w:w="28" w:type="dxa"/>
          <w:bottom w:w="28" w:type="dxa"/>
          <w:right w:w="28" w:type="dxa"/>
        </w:tblCellMar>
      </w:tblPr>
      <w:tblGrid>
        <w:gridCol w:w="161"/>
        <w:gridCol w:w="109"/>
        <w:gridCol w:w="146"/>
        <w:gridCol w:w="72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tc>
      </w:tr>
    </w:tbl>
    <w:tbl>
      <w:tblPr>
        <w:tblW w:w="8082" w:type="dxa"/>
        <w:jc w:val="left"/>
        <w:tblInd w:w="0" w:type="dxa"/>
        <w:tblLayout w:type="fixed"/>
        <w:tblCellMar>
          <w:top w:w="28" w:type="dxa"/>
          <w:left w:w="28" w:type="dxa"/>
          <w:bottom w:w="28" w:type="dxa"/>
          <w:right w:w="28" w:type="dxa"/>
        </w:tblCellMar>
      </w:tblPr>
      <w:tblGrid>
        <w:gridCol w:w="161"/>
        <w:gridCol w:w="109"/>
        <w:gridCol w:w="146"/>
        <w:gridCol w:w="76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failure of third parties to manufacture product candidates according to our specifications;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or placebo not being properly identified;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tc>
      </w:tr>
    </w:tbl>
    <w:tbl>
      <w:tblPr>
        <w:tblW w:w="8262" w:type="dxa"/>
        <w:jc w:val="left"/>
        <w:tblInd w:w="0" w:type="dxa"/>
        <w:tblLayout w:type="fixed"/>
        <w:tblCellMar>
          <w:top w:w="28" w:type="dxa"/>
          <w:left w:w="28" w:type="dxa"/>
          <w:bottom w:w="28" w:type="dxa"/>
          <w:right w:w="28" w:type="dxa"/>
        </w:tblCellMar>
      </w:tblPr>
      <w:tblGrid>
        <w:gridCol w:w="161"/>
        <w:gridCol w:w="109"/>
        <w:gridCol w:w="146"/>
        <w:gridCol w:w="78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tc>
      </w:tr>
    </w:tbl>
    <w:p>
      <w:pPr>
        <w:pStyle w:val="TextBody"/>
        <w:bidi w:val="0"/>
        <w:spacing w:before="120" w:after="283"/>
        <w:jc w:val="left"/>
        <w:rPr>
          <w:rFonts w:ascii="Calibri" w:hAnsi="Calibri"/>
          <w:sz w:val="20"/>
        </w:rPr>
      </w:pPr>
      <w:r>
        <w:rPr>
          <w:rFonts w:ascii="Times New Roman" w:hAnsi="Times New Roman"/>
          <w:color w:val="000000"/>
          <w:sz w:val="20"/>
        </w:rPr>
        <w:t>We do not have complete control over all aspects of the manufacturing process of, and are dependent upon,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we will not be able to secure and/or maintain marketing approval for our manufacturing facilities. In addition, we do not have control over the ability of our contract manufacturers to maintain adequate quality control,</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assurance and qualified personnel. If the FDA, EMA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drugs, especially in large quantities, is complex and may require the use of innovative technologies. Each lot of an approved drug product must undergo thorough testing for identity, strength, quality, purity, potency and stability.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shipping,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Our Business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succeed, we must recruit, retain, manage and motivate qualified executives, and we face significant competition for experienced personnel. We are highly dependent on the principal members of our management and need to add executives with operational and commercialization experience as we plan for commercialization of our product candidates and operations as a public company. Failure to attract and retain qualified personnel, particularly at the management level,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Additionally, changes to immigration policies in the United States, such as changes to H-1B and other visa programs, and restrictions on travel could limit the flow of technical and professional talent into the United States and may inhibit our ability to hire qualified personnel. We could in the future have difficulty attracting experienced personnel and may be required to expend significant financial resources in employee recruitment and retention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tbl>
      <w:tblPr>
        <w:tblW w:w="4842" w:type="dxa"/>
        <w:jc w:val="left"/>
        <w:tblInd w:w="0" w:type="dxa"/>
        <w:tblLayout w:type="fixed"/>
        <w:tblCellMar>
          <w:top w:w="28" w:type="dxa"/>
          <w:left w:w="28" w:type="dxa"/>
          <w:bottom w:w="28" w:type="dxa"/>
          <w:right w:w="28" w:type="dxa"/>
        </w:tblCellMar>
      </w:tblPr>
      <w:tblGrid>
        <w:gridCol w:w="161"/>
        <w:gridCol w:w="109"/>
        <w:gridCol w:w="146"/>
        <w:gridCol w:w="44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 operating expenses and cash requirements;</w:t>
            </w:r>
          </w:p>
        </w:tc>
      </w:tr>
    </w:tbl>
    <w:tbl>
      <w:tblPr>
        <w:tblW w:w="5142" w:type="dxa"/>
        <w:jc w:val="left"/>
        <w:tblInd w:w="0" w:type="dxa"/>
        <w:tblLayout w:type="fixed"/>
        <w:tblCellMar>
          <w:top w:w="28" w:type="dxa"/>
          <w:left w:w="28" w:type="dxa"/>
          <w:bottom w:w="28" w:type="dxa"/>
          <w:right w:w="28" w:type="dxa"/>
        </w:tblCellMar>
      </w:tblPr>
      <w:tblGrid>
        <w:gridCol w:w="161"/>
        <w:gridCol w:w="109"/>
        <w:gridCol w:w="146"/>
        <w:gridCol w:w="47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assumption of indebtedness or contingent liabilities;</w:t>
            </w:r>
          </w:p>
        </w:tc>
      </w:tr>
    </w:tbl>
    <w:tbl>
      <w:tblPr>
        <w:tblW w:w="6492" w:type="dxa"/>
        <w:jc w:val="left"/>
        <w:tblInd w:w="0" w:type="dxa"/>
        <w:tblLayout w:type="fixed"/>
        <w:tblCellMar>
          <w:top w:w="28" w:type="dxa"/>
          <w:left w:w="28" w:type="dxa"/>
          <w:bottom w:w="28" w:type="dxa"/>
          <w:right w:w="28" w:type="dxa"/>
        </w:tblCellMar>
      </w:tblPr>
      <w:tblGrid>
        <w:gridCol w:w="161"/>
        <w:gridCol w:w="109"/>
        <w:gridCol w:w="146"/>
        <w:gridCol w:w="607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issuance of equity securities resulting in dilution to our stockholders;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assimilation of operations, intellectual property, products, and product candidates of an acquired company, including difficulties associated with integrating new personnel;</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diversion of management’s attention from our existing product candidates and initiatives in pursuing such an acquisition or strategic partnership;</w:t>
            </w:r>
          </w:p>
        </w:tc>
      </w:tr>
    </w:tbl>
    <w:tbl>
      <w:tblPr>
        <w:tblW w:w="2337" w:type="dxa"/>
        <w:jc w:val="left"/>
        <w:tblInd w:w="0" w:type="dxa"/>
        <w:tblLayout w:type="fixed"/>
        <w:tblCellMar>
          <w:top w:w="28" w:type="dxa"/>
          <w:left w:w="28" w:type="dxa"/>
          <w:bottom w:w="28" w:type="dxa"/>
          <w:right w:w="28" w:type="dxa"/>
        </w:tblCellMar>
      </w:tblPr>
      <w:tblGrid>
        <w:gridCol w:w="161"/>
        <w:gridCol w:w="109"/>
        <w:gridCol w:w="146"/>
        <w:gridCol w:w="19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of key personnel;</w:t>
            </w:r>
          </w:p>
        </w:tc>
      </w:tr>
    </w:tbl>
    <w:tbl>
      <w:tblPr>
        <w:tblW w:w="5937" w:type="dxa"/>
        <w:jc w:val="left"/>
        <w:tblInd w:w="0" w:type="dxa"/>
        <w:tblLayout w:type="fixed"/>
        <w:tblCellMar>
          <w:top w:w="28" w:type="dxa"/>
          <w:left w:w="28" w:type="dxa"/>
          <w:bottom w:w="28" w:type="dxa"/>
          <w:right w:w="28" w:type="dxa"/>
        </w:tblCellMar>
      </w:tblPr>
      <w:tblGrid>
        <w:gridCol w:w="161"/>
        <w:gridCol w:w="109"/>
        <w:gridCol w:w="146"/>
        <w:gridCol w:w="55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uncertainties in our ability to maintain key business relationships;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our existing products or product candidates;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inability to generate revenue from acquired intellectual property, technology, or products sufficient to meet our objectives or even to offset the associated transaction and maintenance costs.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undertake such a transaction, we may incur large one-time expenses and acquire intangible assets that could result in significant future amortization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internal computer systems, or those of any of our CROs, manufacturers, other contractors or consultants, or potential future collaborators, may fail or suffer actual or suspected security or privacy breaches or incidents or other unauthorized or improper access to, use of, or destruction of our proprietary or confidential data, employee data, or personal data, which could result in additional costs, significant liabilities, harm to our brand and material disruption of our operations, and potentially significant delays in our delivery to market.</w:t>
      </w:r>
    </w:p>
    <w:p>
      <w:pPr>
        <w:pStyle w:val="TextBody"/>
        <w:bidi w:val="0"/>
        <w:spacing w:before="120" w:after="283"/>
        <w:jc w:val="left"/>
        <w:rPr>
          <w:rFonts w:ascii="Calibri" w:hAnsi="Calibri"/>
          <w:sz w:val="20"/>
        </w:rPr>
      </w:pPr>
      <w:r>
        <w:rPr>
          <w:rFonts w:ascii="Times New Roman" w:hAnsi="Times New Roman"/>
          <w:color w:val="000000"/>
          <w:sz w:val="20"/>
        </w:rPr>
        <w:t>Despite the implementation of security measures in an effort to protect systems that store our information, given their size and complexity and the increasing amounts of information maintained on our internal information technology systems and external processing and storage (e.g., cloud) systems, and those of our third-party CROs, other contractors (including sites performing our current or future clinical trials), consultants and other third-party service providers, these systems are potentially vulnerable to breakdown or other damage or interruption. Our systems and the systems of third parties who support our operations are vulnerable to service interruptions, system malfunction, natural disasters, terrorism, war (such as conflicts in the Middle East and between Ukraine and Russia), and telecommunication and electrical failures, as well as security breaches and incidents arising from or caused by inadvertent or intentional actions by our employees, contractors, consultants, business partners, or other third parties, or from cyberattacks by malicious third parties (including the deployment of harmful malware, ransomware, denial-of-service attacks, social engineering, and other means to affect service reliability and threaten the confidentiality, integrity, or availability of information), which may compromise our system infrastructure or lead to unauthorized access to or disruption of our or third-party systems and the unauthorized access to, misuse, disclosure, loss, destruction, alteration or dissemination of, or damage to, our data, including trade secrets or other confidential information, intellectual property, proprietary business information, and personal information. For example, companies have experienced an increase in phishing and social engineering attacks in recent years. Further, the increasing availability and sophistication of artificial intelligence technologies may enable threat actors to more rapidly identify and exploit vulnerabilities in our systems and those of our service providers and other third parties, conduct more sophisticated phishing, social engineering, impersonation and deepfake attacks, accelerate the</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development of malicious code, automate cybersecurity attacks, and otherwise increase the scale, speed and effectiveness of cyber threats, resulting in heightened risks of security breaches and incidents. Our employees generally work in a hybrid model in our office</w:t>
      </w:r>
      <w:r>
        <w:rPr>
          <w:rFonts w:ascii="Times New Roman" w:hAnsi="Times New Roman"/>
          <w:strike/>
          <w:color w:val="000000"/>
          <w:sz w:val="20"/>
        </w:rPr>
        <w:t>s</w:t>
      </w:r>
      <w:r>
        <w:rPr>
          <w:rFonts w:ascii="Calibri" w:hAnsi="Calibri"/>
          <w:color w:val="000000"/>
          <w:sz w:val="20"/>
        </w:rPr>
        <w:t xml:space="preserve"> </w:t>
      </w:r>
      <w:r>
        <w:rPr>
          <w:rFonts w:ascii="Times New Roman" w:hAnsi="Times New Roman"/>
          <w:color w:val="000000"/>
          <w:sz w:val="20"/>
        </w:rPr>
        <w:t>and from home, and we may need to adjust our working model from time to time. As a result, we may have increased cyber security and data security risks, due to increased use of home wi-fi networks and virtual private networks. While we implement controls to reduce the risk of a resulting cyber security or data security incident or breach, we may experience data security incidents, and there is no guarantee that the measures we have implemented will be adequate to safeguard all systems and data, especially with some employees working from home or in a hybrid model where it is more difficult for us to monitor.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disruption, security incident, or security breach resulting in any loss, destruction, unavailability, alteration or dissemination of, or damage to, our data (including confidential information) or other data we or any of our CROs, other contractors, consultants, potential future collaborators, or other third-party service providers maintain or otherwise process, or our applications, or for it to be believed or reported that any of these occurred, could result in us incurring liability and reputational damage, and the development and commercialization of our product candidates could be delayed. For example, if a security incident were to cause interruptions in our operations, it could result in a material disruption of our programs and the development of our product candidates could be delayed. In addition, the loss or unavailability of clinical trial data for our product candidates could result in delays in our marketing approval efforts and result in us incurring significant costs to recover or reproduce the data. Furthermore, disruptions of our internal information technology systems or those of third parties used in our business, or security breaches or incidents affecting us or any of our CROs, other contractors, consultants, potential future collaborators, or other third-party service providers, could result in the loss, misappropriation, or unauthorized access to, use or disclosure of, or the inability to access, data (including trade secrets or other confidential information, intellectual property, proprietary business information, and personal information), which could result in financial, legal, business, and reputational harm to us. Unauthorized access, use, or disclosure of personal information, including personal information regarding our clinical trial subjects or employees, could harm our reputation directly, compel us to notify individuals or regulators under data breach notification laws, cause us to incur costs related to investigation of the incident (including legal expenses, forensic examination costs, and remediation costs), subject us to mandatory corrective action, and otherwise subject us to liability under laws and regulations that protect the privacy and security of personal information, which could result in significant legal and financial exposure and reputational damage that could have an adverse effect on our business. Our preclinical studies in China could increase our risk to such disruptions.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significant costs in our efforts to detect, prevent, and respond to security incidents. We also rely on third parties to manufacture our product candidates, and similar events relating to their systems could also have a material adverse effect on our business. There have been and may continue to be significant supply chain attacks and operational technology attacks globally, and we cannot guarantee that our systems or those of third-party service providers or other third parties that support us or our operations have not been breached or that they do not contain exploitable defects or bugs that could result in a security incident or breach of, or other disruption to, our systems or the systems of third parties that support us and our operations. Any disruption or security incident may result in damage to, or loss, destruction, alteration, or other unauthorized processing of our data, or inappropriate disclosure of confidential or proprietary information, we could be exposed to litigation and governmental investigations and other proceedings and actions, delays in the development and commercialization of our product candidates, and subject us to significant fines, penalties, and other liabilities. Litigation, governmental investigations, and other actions and proceedings could force us to spend money in defense or settlement, divert management’s time and attention, increase our costs of doing business, and adversely affect our reputation. We could be required to fundamentally change our business activities and practices in response to such litigation or investigations, which could have an adverse effect on our business. Any actual or perceived inability to adequately protect data in our possession, custody, or control could have a material adverse effect upon our reputation, business,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to, failure or security breach of, or incident impacting, our systems or third-party systems where information important to our business operations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Ownership of Our Class A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Class A Common Stock has been and is expected to continue to be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Class A Common Stock has been and could continue to be subject to significant fluctuations. Some of the factors that may cause the market price of our Class A Common Stock to fluctuate include:</w:t>
      </w:r>
    </w:p>
    <w:tbl>
      <w:tblPr>
        <w:tblW w:w="6702" w:type="dxa"/>
        <w:jc w:val="left"/>
        <w:tblInd w:w="0" w:type="dxa"/>
        <w:tblLayout w:type="fixed"/>
        <w:tblCellMar>
          <w:top w:w="28" w:type="dxa"/>
          <w:left w:w="28" w:type="dxa"/>
          <w:bottom w:w="28" w:type="dxa"/>
          <w:right w:w="28" w:type="dxa"/>
        </w:tblCellMar>
      </w:tblPr>
      <w:tblGrid>
        <w:gridCol w:w="161"/>
        <w:gridCol w:w="109"/>
        <w:gridCol w:w="146"/>
        <w:gridCol w:w="62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and volume fluctuations in the overall stock market from time to time;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timing and results of clinical trials for our current product candidates and any future product candidates that we may develop;</w:t>
            </w:r>
          </w:p>
        </w:tc>
      </w:tr>
    </w:tbl>
    <w:tbl>
      <w:tblPr>
        <w:tblW w:w="8547" w:type="dxa"/>
        <w:jc w:val="left"/>
        <w:tblInd w:w="0" w:type="dxa"/>
        <w:tblLayout w:type="fixed"/>
        <w:tblCellMar>
          <w:top w:w="28" w:type="dxa"/>
          <w:left w:w="28" w:type="dxa"/>
          <w:bottom w:w="28" w:type="dxa"/>
          <w:right w:w="28" w:type="dxa"/>
        </w:tblCellMar>
      </w:tblPr>
      <w:tblGrid>
        <w:gridCol w:w="161"/>
        <w:gridCol w:w="109"/>
        <w:gridCol w:w="146"/>
        <w:gridCol w:w="81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commencement or termination of collaborations for our product candidates and research programs;</w:t>
            </w:r>
          </w:p>
        </w:tc>
      </w:tr>
    </w:tbl>
    <w:tbl>
      <w:tblPr>
        <w:tblW w:w="8802" w:type="dxa"/>
        <w:jc w:val="left"/>
        <w:tblInd w:w="0" w:type="dxa"/>
        <w:tblLayout w:type="fixed"/>
        <w:tblCellMar>
          <w:top w:w="28" w:type="dxa"/>
          <w:left w:w="28" w:type="dxa"/>
          <w:bottom w:w="28" w:type="dxa"/>
          <w:right w:w="28" w:type="dxa"/>
        </w:tblCellMar>
      </w:tblPr>
      <w:tblGrid>
        <w:gridCol w:w="161"/>
        <w:gridCol w:w="109"/>
        <w:gridCol w:w="146"/>
        <w:gridCol w:w="83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failure to achieve development, regulatory or commercialization milestones under our collaborations;</w:t>
            </w:r>
          </w:p>
        </w:tc>
      </w:tr>
    </w:tbl>
    <w:tbl>
      <w:tblPr>
        <w:tblW w:w="7212" w:type="dxa"/>
        <w:jc w:val="left"/>
        <w:tblInd w:w="0" w:type="dxa"/>
        <w:tblLayout w:type="fixed"/>
        <w:tblCellMar>
          <w:top w:w="28" w:type="dxa"/>
          <w:left w:w="28" w:type="dxa"/>
          <w:bottom w:w="28" w:type="dxa"/>
          <w:right w:w="28" w:type="dxa"/>
        </w:tblCellMar>
      </w:tblPr>
      <w:tblGrid>
        <w:gridCol w:w="161"/>
        <w:gridCol w:w="109"/>
        <w:gridCol w:w="146"/>
        <w:gridCol w:w="67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failure or discontinuation of any of our product candidates and research programs;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results of preclinical studies, clinical trials or regulatory approvals of product candidates of our competitors, or announcements about new research programs or product candidates of our competitors;</w:t>
            </w:r>
          </w:p>
        </w:tc>
      </w:tr>
    </w:tbl>
    <w:tbl>
      <w:tblPr>
        <w:tblW w:w="7302" w:type="dxa"/>
        <w:jc w:val="left"/>
        <w:tblInd w:w="0" w:type="dxa"/>
        <w:tblLayout w:type="fixed"/>
        <w:tblCellMar>
          <w:top w:w="28" w:type="dxa"/>
          <w:left w:w="28" w:type="dxa"/>
          <w:bottom w:w="28" w:type="dxa"/>
          <w:right w:w="28" w:type="dxa"/>
        </w:tblCellMar>
      </w:tblPr>
      <w:tblGrid>
        <w:gridCol w:w="161"/>
        <w:gridCol w:w="109"/>
        <w:gridCol w:w="146"/>
        <w:gridCol w:w="68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research programs;</w:t>
            </w:r>
          </w:p>
        </w:tc>
      </w:tr>
    </w:tbl>
    <w:tbl>
      <w:tblPr>
        <w:tblW w:w="5922" w:type="dxa"/>
        <w:jc w:val="left"/>
        <w:tblInd w:w="0" w:type="dxa"/>
        <w:tblLayout w:type="fixed"/>
        <w:tblCellMar>
          <w:top w:w="28" w:type="dxa"/>
          <w:left w:w="28" w:type="dxa"/>
          <w:bottom w:w="28" w:type="dxa"/>
          <w:right w:w="28" w:type="dxa"/>
        </w:tblCellMar>
      </w:tblPr>
      <w:tblGrid>
        <w:gridCol w:w="161"/>
        <w:gridCol w:w="109"/>
        <w:gridCol w:w="146"/>
        <w:gridCol w:w="55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results of our efforts to develop additional product candidates;</w:t>
            </w:r>
          </w:p>
        </w:tc>
      </w:tr>
    </w:tbl>
    <w:tbl>
      <w:tblPr>
        <w:tblW w:w="7782" w:type="dxa"/>
        <w:jc w:val="left"/>
        <w:tblInd w:w="0" w:type="dxa"/>
        <w:tblLayout w:type="fixed"/>
        <w:tblCellMar>
          <w:top w:w="28" w:type="dxa"/>
          <w:left w:w="28" w:type="dxa"/>
          <w:bottom w:w="28" w:type="dxa"/>
          <w:right w:w="28" w:type="dxa"/>
        </w:tblCellMar>
      </w:tblPr>
      <w:tblGrid>
        <w:gridCol w:w="161"/>
        <w:gridCol w:w="109"/>
        <w:gridCol w:w="146"/>
        <w:gridCol w:w="73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actions with respect to our or our competitors’ product candidates or products;</w:t>
            </w:r>
          </w:p>
        </w:tc>
      </w:tr>
    </w:tbl>
    <w:tbl>
      <w:tblPr>
        <w:tblW w:w="8622" w:type="dxa"/>
        <w:jc w:val="left"/>
        <w:tblInd w:w="0" w:type="dxa"/>
        <w:tblLayout w:type="fixed"/>
        <w:tblCellMar>
          <w:top w:w="28" w:type="dxa"/>
          <w:left w:w="28" w:type="dxa"/>
          <w:bottom w:w="28" w:type="dxa"/>
          <w:right w:w="28" w:type="dxa"/>
        </w:tblCellMar>
      </w:tblPr>
      <w:tblGrid>
        <w:gridCol w:w="161"/>
        <w:gridCol w:w="109"/>
        <w:gridCol w:w="146"/>
        <w:gridCol w:w="82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tc>
      </w:tr>
    </w:tbl>
    <w:tbl>
      <w:tblPr>
        <w:tblW w:w="9507" w:type="dxa"/>
        <w:jc w:val="left"/>
        <w:tblInd w:w="0" w:type="dxa"/>
        <w:tblLayout w:type="fixed"/>
        <w:tblCellMar>
          <w:top w:w="28" w:type="dxa"/>
          <w:left w:w="28" w:type="dxa"/>
          <w:bottom w:w="28" w:type="dxa"/>
          <w:right w:w="28" w:type="dxa"/>
        </w:tblCellMar>
      </w:tblPr>
      <w:tblGrid>
        <w:gridCol w:w="161"/>
        <w:gridCol w:w="109"/>
        <w:gridCol w:w="146"/>
        <w:gridCol w:w="90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announced or completed acquisitions of businesses, products or intellectual property by us or our competitors;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or anticipated changes in the financial projections or development timelines we may provide to the public or our failure to meet those projections or timelines;</w:t>
            </w:r>
          </w:p>
        </w:tc>
      </w:tr>
    </w:tbl>
    <w:tbl>
      <w:tblPr>
        <w:tblW w:w="6087" w:type="dxa"/>
        <w:jc w:val="left"/>
        <w:tblInd w:w="0" w:type="dxa"/>
        <w:tblLayout w:type="fixed"/>
        <w:tblCellMar>
          <w:top w:w="28" w:type="dxa"/>
          <w:left w:w="28" w:type="dxa"/>
          <w:bottom w:w="28" w:type="dxa"/>
          <w:right w:w="28" w:type="dxa"/>
        </w:tblCellMar>
      </w:tblPr>
      <w:tblGrid>
        <w:gridCol w:w="161"/>
        <w:gridCol w:w="109"/>
        <w:gridCol w:w="146"/>
        <w:gridCol w:w="567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conditions in the biotechnology and pharmaceutical sectors;</w:t>
            </w:r>
          </w:p>
        </w:tc>
      </w:tr>
    </w:tbl>
    <w:tbl>
      <w:tblPr>
        <w:tblW w:w="5067" w:type="dxa"/>
        <w:jc w:val="left"/>
        <w:tblInd w:w="0" w:type="dxa"/>
        <w:tblLayout w:type="fixed"/>
        <w:tblCellMar>
          <w:top w:w="28" w:type="dxa"/>
          <w:left w:w="28" w:type="dxa"/>
          <w:bottom w:w="28" w:type="dxa"/>
          <w:right w:w="28" w:type="dxa"/>
        </w:tblCellMar>
      </w:tblPr>
      <w:tblGrid>
        <w:gridCol w:w="161"/>
        <w:gridCol w:w="109"/>
        <w:gridCol w:w="146"/>
        <w:gridCol w:w="46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our Class A Common Stock by us or our stockholders, or expectations that such sales may occur, and the expiration of lock-up agreements;</w:t>
            </w:r>
          </w:p>
        </w:tc>
      </w:tr>
    </w:tbl>
    <w:tbl>
      <w:tblPr>
        <w:tblW w:w="4272" w:type="dxa"/>
        <w:jc w:val="left"/>
        <w:tblInd w:w="0" w:type="dxa"/>
        <w:tblLayout w:type="fixed"/>
        <w:tblCellMar>
          <w:top w:w="28" w:type="dxa"/>
          <w:left w:w="28" w:type="dxa"/>
          <w:bottom w:w="28" w:type="dxa"/>
          <w:right w:w="28" w:type="dxa"/>
        </w:tblCellMar>
      </w:tblPr>
      <w:tblGrid>
        <w:gridCol w:w="161"/>
        <w:gridCol w:w="109"/>
        <w:gridCol w:w="146"/>
        <w:gridCol w:w="38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recruitment or departure of key personnel;</w:t>
            </w:r>
          </w:p>
        </w:tc>
      </w:tr>
    </w:tbl>
    <w:tbl>
      <w:tblPr>
        <w:tblW w:w="8682" w:type="dxa"/>
        <w:jc w:val="left"/>
        <w:tblInd w:w="0" w:type="dxa"/>
        <w:tblLayout w:type="fixed"/>
        <w:tblCellMar>
          <w:top w:w="28" w:type="dxa"/>
          <w:left w:w="28" w:type="dxa"/>
          <w:bottom w:w="28" w:type="dxa"/>
          <w:right w:w="28" w:type="dxa"/>
        </w:tblCellMar>
      </w:tblPr>
      <w:tblGrid>
        <w:gridCol w:w="161"/>
        <w:gridCol w:w="109"/>
        <w:gridCol w:w="146"/>
        <w:gridCol w:w="82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public’s reaction to our press releases, other public announcements and our filings with the SEC;</w:t>
            </w:r>
          </w:p>
        </w:tc>
      </w:tr>
    </w:tbl>
    <w:tbl>
      <w:tblPr>
        <w:tblW w:w="7032" w:type="dxa"/>
        <w:jc w:val="left"/>
        <w:tblInd w:w="0" w:type="dxa"/>
        <w:tblLayout w:type="fixed"/>
        <w:tblCellMar>
          <w:top w:w="28" w:type="dxa"/>
          <w:left w:w="28" w:type="dxa"/>
          <w:bottom w:w="28" w:type="dxa"/>
          <w:right w:w="28" w:type="dxa"/>
        </w:tblCellMar>
      </w:tblPr>
      <w:tblGrid>
        <w:gridCol w:w="161"/>
        <w:gridCol w:w="109"/>
        <w:gridCol w:w="146"/>
        <w:gridCol w:w="66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tc>
      </w:tr>
    </w:tbl>
    <w:tbl>
      <w:tblPr>
        <w:tblW w:w="8277" w:type="dxa"/>
        <w:jc w:val="left"/>
        <w:tblInd w:w="0" w:type="dxa"/>
        <w:tblLayout w:type="fixed"/>
        <w:tblCellMar>
          <w:top w:w="28" w:type="dxa"/>
          <w:left w:w="28" w:type="dxa"/>
          <w:bottom w:w="28" w:type="dxa"/>
          <w:right w:w="28" w:type="dxa"/>
        </w:tblCellMar>
      </w:tblPr>
      <w:tblGrid>
        <w:gridCol w:w="161"/>
        <w:gridCol w:w="109"/>
        <w:gridCol w:w="146"/>
        <w:gridCol w:w="78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fluctuations in the trading volume of our Class A Common Stock or the size of our public float;</w:t>
            </w:r>
          </w:p>
        </w:tc>
      </w:tr>
    </w:tbl>
    <w:tbl>
      <w:tblPr>
        <w:tblW w:w="6432" w:type="dxa"/>
        <w:jc w:val="left"/>
        <w:tblInd w:w="0" w:type="dxa"/>
        <w:tblLayout w:type="fixed"/>
        <w:tblCellMar>
          <w:top w:w="28" w:type="dxa"/>
          <w:left w:w="28" w:type="dxa"/>
          <w:bottom w:w="28" w:type="dxa"/>
          <w:right w:w="28" w:type="dxa"/>
        </w:tblCellMar>
      </w:tblPr>
      <w:tblGrid>
        <w:gridCol w:w="161"/>
        <w:gridCol w:w="109"/>
        <w:gridCol w:w="146"/>
        <w:gridCol w:w="60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or anticipated changes or fluctuations in our results of operations;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or anticipated developments in our business, our competitors’ businesses or changes in the market valuations of similar companies and the competitive landscape generally;</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5022" w:type="dxa"/>
        <w:jc w:val="left"/>
        <w:tblInd w:w="0" w:type="dxa"/>
        <w:tblLayout w:type="fixed"/>
        <w:tblCellMar>
          <w:top w:w="28" w:type="dxa"/>
          <w:left w:w="28" w:type="dxa"/>
          <w:bottom w:w="28" w:type="dxa"/>
          <w:right w:w="28" w:type="dxa"/>
        </w:tblCellMar>
      </w:tblPr>
      <w:tblGrid>
        <w:gridCol w:w="161"/>
        <w:gridCol w:w="109"/>
        <w:gridCol w:w="146"/>
        <w:gridCol w:w="46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failure of securities analysts to maintain coverage of our Class A Common Stock, changes in actual or future expectations of investors or securities analysts or our failure to meet these estimates or the expectations of investors;</w:t>
            </w:r>
          </w:p>
        </w:tc>
      </w:tr>
    </w:tbl>
    <w:tbl>
      <w:tblPr>
        <w:tblW w:w="4182" w:type="dxa"/>
        <w:jc w:val="left"/>
        <w:tblInd w:w="0" w:type="dxa"/>
        <w:tblLayout w:type="fixed"/>
        <w:tblCellMar>
          <w:top w:w="28" w:type="dxa"/>
          <w:left w:w="28" w:type="dxa"/>
          <w:bottom w:w="28" w:type="dxa"/>
          <w:right w:w="28" w:type="dxa"/>
        </w:tblCellMar>
      </w:tblPr>
      <w:tblGrid>
        <w:gridCol w:w="161"/>
        <w:gridCol w:w="109"/>
        <w:gridCol w:w="146"/>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involving us, our industry or both;</w:t>
            </w:r>
          </w:p>
        </w:tc>
      </w:tr>
    </w:tbl>
    <w:tbl>
      <w:tblPr>
        <w:tblW w:w="4227" w:type="dxa"/>
        <w:jc w:val="left"/>
        <w:tblInd w:w="0" w:type="dxa"/>
        <w:tblLayout w:type="fixed"/>
        <w:tblCellMar>
          <w:top w:w="28" w:type="dxa"/>
          <w:left w:w="28" w:type="dxa"/>
          <w:bottom w:w="28" w:type="dxa"/>
          <w:right w:w="28" w:type="dxa"/>
        </w:tblCellMar>
      </w:tblPr>
      <w:tblGrid>
        <w:gridCol w:w="161"/>
        <w:gridCol w:w="109"/>
        <w:gridCol w:w="146"/>
        <w:gridCol w:w="381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governmental or regulatory actions or audits;</w:t>
            </w:r>
          </w:p>
        </w:tc>
      </w:tr>
    </w:tbl>
    <w:tbl>
      <w:tblPr>
        <w:tblW w:w="6552" w:type="dxa"/>
        <w:jc w:val="left"/>
        <w:tblInd w:w="0" w:type="dxa"/>
        <w:tblLayout w:type="fixed"/>
        <w:tblCellMar>
          <w:top w:w="28" w:type="dxa"/>
          <w:left w:w="28" w:type="dxa"/>
          <w:bottom w:w="28" w:type="dxa"/>
          <w:right w:w="28" w:type="dxa"/>
        </w:tblCellMar>
      </w:tblPr>
      <w:tblGrid>
        <w:gridCol w:w="161"/>
        <w:gridCol w:w="109"/>
        <w:gridCol w:w="146"/>
        <w:gridCol w:w="613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tc>
      </w:tr>
    </w:tbl>
    <w:tbl>
      <w:tblPr>
        <w:tblW w:w="3867" w:type="dxa"/>
        <w:jc w:val="left"/>
        <w:tblInd w:w="0" w:type="dxa"/>
        <w:tblLayout w:type="fixed"/>
        <w:tblCellMar>
          <w:top w:w="28" w:type="dxa"/>
          <w:left w:w="28" w:type="dxa"/>
          <w:bottom w:w="28" w:type="dxa"/>
          <w:right w:w="28" w:type="dxa"/>
        </w:tblCellMar>
      </w:tblPr>
      <w:tblGrid>
        <w:gridCol w:w="161"/>
        <w:gridCol w:w="109"/>
        <w:gridCol w:w="146"/>
        <w:gridCol w:w="34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economic conditions and trends;</w:t>
            </w:r>
          </w:p>
        </w:tc>
      </w:tr>
    </w:tbl>
    <w:tbl>
      <w:tblPr>
        <w:tblW w:w="5517" w:type="dxa"/>
        <w:jc w:val="left"/>
        <w:tblInd w:w="0" w:type="dxa"/>
        <w:tblLayout w:type="fixed"/>
        <w:tblCellMar>
          <w:top w:w="28" w:type="dxa"/>
          <w:left w:w="28" w:type="dxa"/>
          <w:bottom w:w="28" w:type="dxa"/>
          <w:right w:w="28" w:type="dxa"/>
        </w:tblCellMar>
      </w:tblPr>
      <w:tblGrid>
        <w:gridCol w:w="161"/>
        <w:gridCol w:w="109"/>
        <w:gridCol w:w="146"/>
        <w:gridCol w:w="51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tc>
      </w:tr>
    </w:tbl>
    <w:tbl>
      <w:tblPr>
        <w:tblW w:w="5367" w:type="dxa"/>
        <w:jc w:val="left"/>
        <w:tblInd w:w="0" w:type="dxa"/>
        <w:tblLayout w:type="fixed"/>
        <w:tblCellMar>
          <w:top w:w="28" w:type="dxa"/>
          <w:left w:w="28" w:type="dxa"/>
          <w:bottom w:w="28" w:type="dxa"/>
          <w:right w:w="28" w:type="dxa"/>
        </w:tblCellMar>
      </w:tblPr>
      <w:tblGrid>
        <w:gridCol w:w="161"/>
        <w:gridCol w:w="109"/>
        <w:gridCol w:w="146"/>
        <w:gridCol w:w="49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securities by us or our securityholders in the future;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do not achieve the perceived benefits of the Merger as rapidly or to the extent anticipated by financial or industry analysts; and</w:t>
            </w:r>
          </w:p>
        </w:tc>
      </w:tr>
    </w:tbl>
    <w:tbl>
      <w:tblPr>
        <w:tblW w:w="7272" w:type="dxa"/>
        <w:jc w:val="left"/>
        <w:tblInd w:w="0" w:type="dxa"/>
        <w:tblLayout w:type="fixed"/>
        <w:tblCellMar>
          <w:top w:w="28" w:type="dxa"/>
          <w:left w:w="28" w:type="dxa"/>
          <w:bottom w:w="28" w:type="dxa"/>
          <w:right w:w="28" w:type="dxa"/>
        </w:tblCellMar>
      </w:tblPr>
      <w:tblGrid>
        <w:gridCol w:w="161"/>
        <w:gridCol w:w="109"/>
        <w:gridCol w:w="146"/>
        <w:gridCol w:w="68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Class A Common Stock. In addition, a recession, depression or other sustained adverse market event could materially and adversely affect our business and the value of our Class A Common Stock.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could have an adverse effect on our operating results, financial condition and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to incur losses for the foreseeable future and might never achieve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become profitable, even if we are able to complete clinical development for one or more product candidates and eventually commercialize such product candidates. We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we do achieve profitability, we may not be able to sustain or increase profitability on a quarterly or annual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attract and retain management and other key personnel, we may be unable to continue to successfully develop or commercialize our product candidates or otherwise implement our business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pharmaceuticals industry depends on our ability to attract and retain highly qualified managerial, scientific, medical, legal, sales and marketing and other personnel. We will be highly dependent on 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impact negatively our ability to implement successfully our business plan. If we lose the services of any of these individuals, we might not be able to find suitable replacements on a timely basis or at all, and our business could be harmed as a result. We might not be able to attract or retain qualified management and other key personnel in the future due to the intense competition for qualified personnel among biotechnology, pharmaceutical and other businesses.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additional costs and increased demands upon management as a result of complying with the laws and regulations affecting public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significant legal, accounting and other expenses as a public company, including costs associated with public company reporting obligations under the Exchange Act. Our management team, including executive officers and other personnel, need to devote substantial time to ensuring that we comply with applicable public company reporting requirements and applicable laws and regulations. These reporting requirements, rules and regulations, coupled with the increase in potential litigation exposure associated with being a public company, could also make it more difficult for us to attract and retain qualified persons to serve on our Board or board committees or to serve as executive officers, or to obtain certain types of insurance, including directors’ and officers’ insurance, on acceptable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continue to be an emerging growth company and a smaller reporting company, and it cannot be certain if the reduced reporting requirements applicable to emerging growth companies and smaller reporting companies will make our Class A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emerging growth company until the earlier of (1) the last day of the fiscal year (a) following the fifth anniversary of the closing of Reneo’s initial public offering, (b) in which we have total annual gross revenue of at least $1.235 billion or (c) in which we are deemed to be a large accelerated filer, which requires, among other things, that the market value of our Class A Common Stock that is held by non-affiliates to exceed $700 million as of the prior June 30th, and (2) the date on which we have issued more than $1 billion in non-convertible debt during the prior three-year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we are also a non-accelerated filer at that time) and reduced disclosure obligations regarding executive compensation in our periodic reports and proxy statements. It cannot be predicted if investors will find our Class A Common Stock less attractive because we may rely on these exemptions. If some investors find our Class A Common Stock less attractive as a result, there may be a less active trading market for our Class A Common Stock and the price of our Class A Common Stock may be more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It is expected that we will continue to elect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 As a result, changes in rules of GAAP or their interpretation, the adoption of new guidance, or the application of existing guidance to changes in our business could significantly affect our financial position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once we are no longer an emerging growth company or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Class A Common Stock may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120" w:after="283"/>
        <w:jc w:val="left"/>
        <w:rPr>
          <w:rFonts w:ascii="Calibri" w:hAnsi="Calibri"/>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our internal controls over financial reporting in our Annual Report on Form 10-K filing for that year, as required by Section 404 of the Sarbanes-Oxley Act. This requires that we incur substantial professional fees and internal costs in connection with our accounting and finance functions and that we expend significant management efforts. We may experience difficulty in meeting these reporting requirements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Class A Common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our Amended and Restated Bylaws and provisions of Delaware law could make acquiring us more difficult and may prevent attempts by our stockholders to replace or remove our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(“Amended Certificate of Incorporation”) and our Amended and Restated Bylaws (“Amended Bylaws”) may discourage, delay or prevent a merger, acquisition or other change in control of the Company that stockholders may consider favorable, including transactions in which holders of our Common Stock might otherwise receive a premium price for their shares. These provisions could also limit the price that investors might be willing to pay in the future for shares of our Common Stock, thereby depressing the market price of our Common Stock. In addition, because the Board will be responsible for appointing the members of our management team, these provisions may frustrate or prevent any attempts by our stockholders to replace or remove current management by making it more difficult for stockholders to replace members of the Board. Among other things, these provisions:</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without stockholder approval and may contain voting, liquidation, dividend, and other rights superior to our Common Stock;</w:t>
            </w:r>
          </w:p>
        </w:tc>
      </w:tr>
    </w:tbl>
    <w:tbl>
      <w:tblPr>
        <w:tblW w:w="7887" w:type="dxa"/>
        <w:jc w:val="left"/>
        <w:tblInd w:w="0" w:type="dxa"/>
        <w:tblLayout w:type="fixed"/>
        <w:tblCellMar>
          <w:top w:w="28" w:type="dxa"/>
          <w:left w:w="28" w:type="dxa"/>
          <w:bottom w:w="28" w:type="dxa"/>
          <w:right w:w="28" w:type="dxa"/>
        </w:tblCellMar>
      </w:tblPr>
      <w:tblGrid>
        <w:gridCol w:w="161"/>
        <w:gridCol w:w="109"/>
        <w:gridCol w:w="146"/>
        <w:gridCol w:w="747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for a classified board of directors whose members serve staggered three-year terms;</w:t>
            </w:r>
          </w:p>
        </w:tc>
      </w:tr>
    </w:tbl>
    <w:tbl>
      <w:tblPr>
        <w:tblW w:w="7197" w:type="dxa"/>
        <w:jc w:val="left"/>
        <w:tblInd w:w="0" w:type="dxa"/>
        <w:tblLayout w:type="fixed"/>
        <w:tblCellMar>
          <w:top w:w="28" w:type="dxa"/>
          <w:left w:w="28" w:type="dxa"/>
          <w:bottom w:w="28" w:type="dxa"/>
          <w:right w:w="28" w:type="dxa"/>
        </w:tblCellMar>
      </w:tblPr>
      <w:tblGrid>
        <w:gridCol w:w="161"/>
        <w:gridCol w:w="109"/>
        <w:gridCol w:w="146"/>
        <w:gridCol w:w="67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the Board;</w:t>
            </w:r>
          </w:p>
        </w:tc>
      </w:tr>
    </w:tbl>
    <w:tbl>
      <w:tblPr>
        <w:tblW w:w="4392" w:type="dxa"/>
        <w:jc w:val="left"/>
        <w:tblInd w:w="0" w:type="dxa"/>
        <w:tblLayout w:type="fixed"/>
        <w:tblCellMar>
          <w:top w:w="28" w:type="dxa"/>
          <w:left w:w="28" w:type="dxa"/>
          <w:bottom w:w="28" w:type="dxa"/>
          <w:right w:w="28" w:type="dxa"/>
        </w:tblCellMar>
      </w:tblPr>
      <w:tblGrid>
        <w:gridCol w:w="161"/>
        <w:gridCol w:w="109"/>
        <w:gridCol w:w="146"/>
        <w:gridCol w:w="397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prohibit stockholder action by written consent;</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the stockholders, including proposed nominations of persons for election to the Board;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that vacancies on the Board may be filled only by a majority of directors then in office, even though less than a quorum;</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that our directors may be removed (i) only for cause and (ii) only by the affirmative vote of the holders of 66 2/3% or more of the outstanding shares of capital stock then entitled to vote at an election of directors;</w:t>
            </w:r>
          </w:p>
        </w:tc>
      </w:tr>
    </w:tbl>
    <w:tbl>
      <w:tblPr>
        <w:tblW w:w="7722" w:type="dxa"/>
        <w:jc w:val="left"/>
        <w:tblInd w:w="0" w:type="dxa"/>
        <w:tblLayout w:type="fixed"/>
        <w:tblCellMar>
          <w:top w:w="28" w:type="dxa"/>
          <w:left w:w="28" w:type="dxa"/>
          <w:bottom w:w="28" w:type="dxa"/>
          <w:right w:w="28" w:type="dxa"/>
        </w:tblCellMar>
      </w:tblPr>
      <w:tblGrid>
        <w:gridCol w:w="161"/>
        <w:gridCol w:w="109"/>
        <w:gridCol w:w="146"/>
        <w:gridCol w:w="73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expressly authorize the Board to make, alter, amend, or repeal the Amended Bylaws;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Certificate of Incorporation and Amended Bylaws.</w:t>
            </w:r>
          </w:p>
        </w:tc>
      </w:tr>
    </w:tbl>
    <w:p>
      <w:pPr>
        <w:pStyle w:val="TextBody"/>
        <w:bidi w:val="0"/>
        <w:jc w:val="left"/>
        <w:rPr/>
      </w:pPr>
      <w:r>
        <w:rPr/>
        <w:t> </w:t>
      </w:r>
    </w:p>
    <w:p>
      <w:pPr>
        <w:pStyle w:val="TextBody"/>
        <w:bidi w:val="0"/>
        <w:spacing w:before="120" w:after="283"/>
        <w:jc w:val="left"/>
        <w:rPr>
          <w:rFonts w:ascii="Calibri" w:hAnsi="Calibri"/>
          <w:sz w:val="20"/>
        </w:rPr>
      </w:pPr>
      <w:r>
        <w:rPr>
          <w:rFonts w:ascii="Times New Roman" w:hAnsi="Times New Roman"/>
          <w:color w:val="000000"/>
          <w:sz w:val="20"/>
        </w:rPr>
        <w:t>Moreover, because we are incorporated in Delaware, we are governed by the provisions of Section 203 of the DGCL, which prohibits stockholders owning in excess of 15% of our outstanding voting stock from merging or</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combining with us. Although we believe these provisions collectively will provide for an opportunity to receive higher bids by requiring potential acquirors to negotiate with the Board, they would apply even if the offer may be considered beneficial by some stockholders. In addition, these provisions may frustrate or prevent any attempts by our stockholders to replace or remove then-current management by making it more difficult for stockholders to replace members of the Board, which is responsible for appointing the members of management.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Bylaws provide that, unless we consent in writing to the selection of an alternative forum, the Court of Chancery of the State of Delaware will be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employees arising out of or pursuant to any provision of the DGCL, our Amended Certificate of Incorporation or our Amended Bylaws; (iv) any claim or cause of action seeking to interpret, apply, enforce, or determine the validity of our Amended Certificate of Incorporation or our Amended Bylaws; (v) any claim or cause of action as to which the DGCL confers jurisdiction on the Court of Chancery of the State of Delaware; and (vi) any claim or cause of action against us or any of our current or former directors, officers or employees governed by the internal affairs doctrine or otherwise related to our internal affairs, in all cases to the fullest extent permitted by law and subject to the court having personal jurisdiction over the indispensable parties named as defendants. This provision would not apply to claims or causes of action brought to enforce a duty or liability created by the Exchange Act or any other claim for which the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we consent in writing to the selection of an alternate forum, the United States federal district courts shall be the sole and exclusive forum for resolving any complaint asserting a cause of action arising under the Securities Act. In addition, our Amended Bylaws provide that any person or entity purchasing or otherwise acquiring any interest in shares of our capital stock is deemed to have notice of and consented to these exclusive forum provisions. The forum selection provisions in our Amended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There is uncertainty as to whether a court would enforce such provisions, and investors cannot waive compliance with the federal securities laws and the rules and regulations thereunder. Furthermore,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Bylaws to be inapplicable or unenforceable in an action, we may incur additional costs associated with resolving the dispute in other jurisdictions, which could seriously harm our business. Section 22 of the Securities Act creates concurrent jurisdiction for federal and state courts over actions brought under the Securities Act or the rules and regulations promulgated thereunder. In addition, these forum selection provisions may impose additional litigation costs for stockholders who determine to pursue any such lawsuits against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Certificate of Incorporation and Amended Bylaws provide that we will indemnify our directors and officers, in each case to the fullest extent permitted by Delaware law. In addition, as permitted by Section 145 of the DGCL, our Amended Bylaws and the indemnification agreements that we have entered with our directors and officers provide that:</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are not obligated pursuant to our Amended Bylaws to indemnify a person with respect to proceedings initiated by that person against us or our other indemnitees, except with respect to proceedings authorized by our Board or brought to enforce a right to indemnification;</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rights conferred in our Amended Bylaws are not exclusive, and we are authorized to enter into indemnification agreements with our directors, officers, employees and agents and to obtain insurance to indemnify such persons;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not retroactively amend the provisions of our Amended Bylaws to reduce our indemnification obligations to directors, officers, employees and agents.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a claim for indemnification is brought by any of our directors or officers, it would reduce the amount of funds available for use in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anticipate that we will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expectation is that we will retain our future earnings, if any, to fund the growth of our business as opposed to paying dividends. As a result, capital appreciation, if any, of our Class A Common Stock will be your sole source of gain, if any, for the foreseeable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 which is expensive and could divert management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operating results,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Reneo’s winddown of its historical operations, the suspension of development activities and the Merger, resulting in the conversion of Legacy OnKure into a public company, made us subject to the SEC requirements applicable to reporting shell company business combinations. As a result, we are subject to more stringent reporting requirements, offering limitations, and resale restrictions than some other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Prior to the Merger, Reneo suspended its development activities and, as such, we are subject to the SEC requirements applicable to reporting shell company business combinations, which are as follows:</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were required file a Current Report on Form 8-K to report the Form 10 type information (the “Super 8-K”) after the closing of the Merger reflecting our status as an entity that is not a shell company;</w:t>
            </w:r>
          </w:p>
        </w:tc>
      </w:tr>
    </w:tbl>
    <w:tbl>
      <w:tblPr>
        <w:tblW w:w="7437" w:type="dxa"/>
        <w:jc w:val="left"/>
        <w:tblInd w:w="0" w:type="dxa"/>
        <w:tblLayout w:type="fixed"/>
        <w:tblCellMar>
          <w:top w:w="28" w:type="dxa"/>
          <w:left w:w="28" w:type="dxa"/>
          <w:bottom w:w="28" w:type="dxa"/>
          <w:right w:w="28" w:type="dxa"/>
        </w:tblCellMar>
      </w:tblPr>
      <w:tblGrid>
        <w:gridCol w:w="161"/>
        <w:gridCol w:w="109"/>
        <w:gridCol w:w="146"/>
        <w:gridCol w:w="70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were not eligible to use a Form S-3 until one year after the filing of the Super 8-K;</w:t>
            </w:r>
          </w:p>
        </w:tc>
      </w:tr>
    </w:tbl>
    <w:tbl>
      <w:tblPr>
        <w:tblW w:w="9297" w:type="dxa"/>
        <w:jc w:val="left"/>
        <w:tblInd w:w="0" w:type="dxa"/>
        <w:tblLayout w:type="fixed"/>
        <w:tblCellMar>
          <w:top w:w="28" w:type="dxa"/>
          <w:left w:w="28" w:type="dxa"/>
          <w:bottom w:w="28" w:type="dxa"/>
          <w:right w:w="28" w:type="dxa"/>
        </w:tblCellMar>
      </w:tblPr>
      <w:tblGrid>
        <w:gridCol w:w="161"/>
        <w:gridCol w:w="109"/>
        <w:gridCol w:w="146"/>
        <w:gridCol w:w="88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waited 60 calendar days after the filing of the Super 8-K to file a Form S-8 for our equity plans or awards;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are an “ineligible issuer” through October 4, 2027, which will prevent us from (i) incorporating by reference in our Form S-1 filings, (ii) using a free writing prospectus or (iii) taking advantage of the well-known seasoned issuer (also known as a “WKSI”) status despite our public float;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investors who (i) were affiliates of OnKure at the time the Merger were submitted for the vote or consent of OnKure stockholders, (ii) received securities in the Merger and (iii) publicly offer or sell such securities will be deemed to be engaged in a distribution of such securities, and therefore would be underwriters with respect to resales of those securities, and accordingly such securities may not be included in the Form S-1 resale shelf registration statement that was filed after the closing of the Merger unless such securities are sold only in a fixed price offering in which such investors are named as underwriters in the prospectus;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144(i)(2) limited the ability of holders of restricted securities and any affiliates of the public company to publicly resell Rule 145(c) securities per Rule 145(d), as well as any other of our “restricted” or “control” securities per Rule 144, until one year after the Super 8-K was filed with the SEC. Non-affiliate Reneo stockholders prior the Merger were not subject to such restrictions on public resales of their shares.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SEC requirements will increase our time and cost of raising capital, offering stock under equity plans, and complying with securities laws. Furthermore, such requirements will add burdensome restrictions on the resale of our Class A Common Stock by our affiliates and any holders of our “restricted” or “control”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issued a substantial number of pre-funded warrants which are exercisable into shares of our Class A Common Stock which could result in substantial dilution to the ownership interests of our existing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2026 PIPE Purchase Agreement, we issued the 2026 PIPE Pre-Funded Warrants. As of August 3, 2026, approximately 9,430,957 shares of our Class A Common Stock were reserved for issuance upon exercise of the 2026 PIPE Pre-Funded Warrants. The exercise of these securities will result in a significant increase in the number of outstanding shares and substantially dilute the ownership interests of our existing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of shares by existing stockholders could cause our Class A Common Stock price to decline.</w:t>
      </w:r>
    </w:p>
    <w:p>
      <w:pPr>
        <w:pStyle w:val="TextBody"/>
        <w:bidi w:val="0"/>
        <w:spacing w:before="120" w:after="283"/>
        <w:jc w:val="left"/>
        <w:rPr>
          <w:rFonts w:ascii="Calibri" w:hAnsi="Calibri"/>
          <w:sz w:val="20"/>
        </w:rPr>
      </w:pPr>
      <w:r>
        <w:rPr>
          <w:rFonts w:ascii="Times New Roman" w:hAnsi="Times New Roman"/>
          <w:color w:val="000000"/>
          <w:sz w:val="20"/>
        </w:rPr>
        <w:t>Sales of a substantial number of our Class A Common Stock in the public market could occur at any time. If existing securityholders sell, or indicate an intention to sell, substantial amounts of our Class A Common Stock in the public market, the trading price of our Class A Common Stock could decline. All outstanding shares of our Class A Common Stock, other than shares held by our affiliates, are freely tradable, without restriction, in the public market.</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registered all of the 36,144,595 shares of our Class A Common Stock issued (or issuable upon the exercise of the 2026 PIPE Pre-Funded Warrants) by us in the 2026 Private Placement on a Form S-3, which was declared effective by the SEC in May 2026. In addition, shares of our Class A Common Stock that are subject to outstanding options or warrants will become eligible for sale in the public market to the extent permitted by the provisions of various vesting agreements and Rules 144 and 701 under the Securities Act. If these shares are sold, the trading price of our Class A Common Stock could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August 1, 2026, our executive officers, directors and principal stockholders, in the aggregate, beneficially own approximately 60.3% of the outstanding shares of our Class A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the stock price and trading volume of our Class A Common Stock could decline.</w:t>
      </w:r>
    </w:p>
    <w:p>
      <w:pPr>
        <w:pStyle w:val="TextBody"/>
        <w:bidi w:val="0"/>
        <w:spacing w:before="120" w:after="283"/>
        <w:jc w:val="left"/>
        <w:rPr>
          <w:rFonts w:ascii="Calibri" w:hAnsi="Calibri"/>
          <w:sz w:val="20"/>
        </w:rPr>
      </w:pPr>
      <w:r>
        <w:rPr>
          <w:rFonts w:ascii="Times New Roman" w:hAnsi="Times New Roman"/>
          <w:color w:val="000000"/>
          <w:sz w:val="20"/>
        </w:rPr>
        <w:t>The trading market for our Class A Common Stock will be influenced by the research and reports that equity research analysts publish about us and our business. Equity research analysts may elect to not provide research coverage of our Class A Common Stock, and such lack of research coverage may adversely affect the market price of our Class A Common Stock. In the event that we do have equity research analyst coverage, we will not have any control over the analysts or the content and opinions included in their reports. The price of our Class A Common Stock could decline if one or more equity research analysts downgrades our stock or issues other unfavorable</w:t>
      </w:r>
      <w:r>
        <w:rPr>
          <w:rFonts w:ascii="Calibri" w:hAnsi="Calibri"/>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commentary or research. If one or more equity research analysts ceases coverage of us or fails to publish reports on it regularly, demand for our Class A Common Stock could decrease, which in turn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adverse legislative or regulatory tax changes that could negatively impact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(the “IRS”) and the U.S. Treasury Department. Changes to tax laws (which changes may have retroactive application) could adversely affect us or our stockholders. Any change in tax law will be accounted for in the period of enactment. We will assess the impact of various tax reform proposals and modifications to existing tax treaties in all jurisdictions where we have operations to determine the potential effect on our business and any assumptions we will make about our future taxable income. We cannot predict whether any specific proposals will be enacted, the terms of any such proposals or what effect, if any, such proposals would have on our business if they were to be enacted. Such changes, among others, may adversely affect our effective tax rate, results of operation and general business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use net operating loss carryforwards and other tax attributes may be limited, including as a result of the Merger.</w:t>
      </w:r>
    </w:p>
    <w:p>
      <w:pPr>
        <w:pStyle w:val="TextBody"/>
        <w:bidi w:val="0"/>
        <w:spacing w:before="120" w:after="283"/>
        <w:jc w:val="left"/>
        <w:rPr>
          <w:rFonts w:ascii="Calibri" w:hAnsi="Calibri"/>
          <w:sz w:val="20"/>
        </w:rPr>
      </w:pPr>
      <w:r>
        <w:rPr>
          <w:rFonts w:ascii="Times New Roman" w:hAnsi="Times New Roman"/>
          <w:color w:val="000000"/>
          <w:sz w:val="20"/>
        </w:rPr>
        <w:t>As of December 31, 2025, we had U.S. federal net operating loss carryforwards of $236.5 million. Under current law, U.S. federal net operating loss carryforwards generated in taxable periods beginning after December 31, 2017, may be carried forward indefinitely, but the deductibility of such net operating loss carryforwards is limited to 80% of taxable income for taxable periods beginning after December 31, 2020. Net operating loss carryforwards may be subject to similar limitations under state law. In addition, under Sections 382 and 383 of the Code, U.S. federal net operating loss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(by value) over their lowest ownership percentage within a rolling three-year period. Legacy OnKure had not conducted a study to determine whether such an ownership change had occurred in the previous years to impair the use of its net operating loss carryforwards. Reneo may have experienced such ownership changes in the past, and we believe that Reneo experienced an ownership change in connection with the Merger and the private placement Reneo completed concurrently with the closing of the Merger. Our ability to utilize these net operating loss carryforwards and other tax attributes to offset future taxable income or tax liabilities may be limited as a result of ownership changes, including, as discussed above, in connection with the Merger and the concurrent private placement or other transactions. Similar rules may apply under state tax laws. In addition, California has recently enacted a temporary suspension on the use of state net operating loss carryforwards for certain businesses, which may adversely affect us if we earn taxable income in the impacted tax years that is apportioned to California. Other state tax limitations may apply.</w:t>
      </w:r>
      <w:r>
        <w:rPr>
          <w:rFonts w:ascii="Calibri" w:hAnsi="Calibri"/>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earn taxable income, such limitations could result in increased future income tax liability to us, and our future cash flows could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spacing w:before="360" w:after="283"/>
        <w:jc w:val="left"/>
        <w:rPr>
          <w:rFonts w:ascii="Times New Roman" w:hAnsi="Times New Roman"/>
          <w:b/>
          <w:color w:val="000000"/>
          <w:sz w:val="20"/>
        </w:rPr>
      </w:pPr>
      <w:bookmarkStart w:id="16" w:name="item2unregisteredsalesofequitysecurities"/>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3defaultsuponseniorsecurities_414864"/>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4minesafetydisclosures_312119"/>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5otherinformation"/>
      <w:bookmarkEnd w:id="19"/>
      <w:r>
        <w:rPr>
          <w:rFonts w:ascii="Times New Roman" w:hAnsi="Times New Roman"/>
          <w:b/>
          <w:color w:val="000000"/>
          <w:sz w:val="20"/>
        </w:rPr>
        <w:t>Item 5. Other Information</w:t>
      </w:r>
    </w:p>
    <w:p>
      <w:pPr>
        <w:pStyle w:val="TextBody"/>
        <w:bidi w:val="0"/>
        <w:spacing w:before="120" w:after="283"/>
        <w:jc w:val="left"/>
        <w:rPr>
          <w:rFonts w:ascii="Calibri" w:hAnsi="Calibri"/>
          <w:sz w:val="20"/>
        </w:rPr>
      </w:pPr>
      <w:r>
        <w:rPr>
          <w:rFonts w:ascii="Times New Roman" w:hAnsi="Times New Roman"/>
          <w:color w:val="000000"/>
          <w:sz w:val="20"/>
        </w:rPr>
        <w:t>No</w:t>
      </w:r>
      <w:r>
        <w:rPr>
          <w:rFonts w:ascii="Calibri" w:hAnsi="Calibri"/>
          <w:color w:val="000000"/>
          <w:sz w:val="20"/>
        </w:rPr>
        <w:t xml:space="preserve"> </w:t>
      </w:r>
      <w:r>
        <w:rPr>
          <w:rFonts w:ascii="Times New Roman" w:hAnsi="Times New Roman"/>
          <w:color w:val="000000"/>
          <w:sz w:val="20"/>
        </w:rPr>
        <w:t>officers or directors, as defined in Rule 16a-1(f), adopted or terminated a “Rule 10b5-1 trading arrangement” or a “non-Rule 10b5-1 trading arrangement,” as defined in Regulation S-K Item 408, during the last fiscal quarter.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left"/>
        <w:rPr>
          <w:rFonts w:ascii="Calibri" w:hAnsi="Calibri"/>
          <w:sz w:val="20"/>
        </w:rPr>
      </w:pPr>
      <w:bookmarkStart w:id="20" w:name="exhibit_index"/>
      <w:bookmarkEnd w:id="20"/>
      <w:r>
        <w:rPr>
          <w:rFonts w:ascii="Times New Roman" w:hAnsi="Times New Roman"/>
          <w:b/>
          <w:color w:val="000000"/>
          <w:sz w:val="20"/>
        </w:rPr>
        <w:t>Item 6. Exhibits</w:t>
      </w:r>
      <w:r>
        <w:rPr>
          <w:rFonts w:ascii="Calibri" w:hAnsi="Calibri"/>
          <w:color w:val="000000"/>
          <w:sz w:val="20"/>
        </w:rPr>
        <w:t xml:space="preserve">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EXHIBIT INDEX</w:t>
      </w:r>
    </w:p>
    <w:tbl>
      <w:tblPr>
        <w:tblW w:w="2577" w:type="dxa"/>
        <w:jc w:val="left"/>
        <w:tblInd w:w="0" w:type="dxa"/>
        <w:tblLayout w:type="fixed"/>
        <w:tblCellMar>
          <w:top w:w="28" w:type="dxa"/>
          <w:left w:w="28" w:type="dxa"/>
          <w:bottom w:w="28" w:type="dxa"/>
          <w:right w:w="28" w:type="dxa"/>
        </w:tblCellMar>
      </w:tblPr>
      <w:tblGrid>
        <w:gridCol w:w="161"/>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Incorporated by Reference</w:t>
            </w:r>
          </w:p>
        </w:tc>
      </w:tr>
    </w:tbl>
    <w:p>
      <w:pPr>
        <w:pStyle w:val="TextBody"/>
        <w:bidi w:val="0"/>
        <w:spacing w:before="240" w:after="240"/>
        <w:jc w:val="center"/>
        <w:rPr/>
      </w:pPr>
      <w:r>
        <w:rPr/>
        <w:t> </w:t>
      </w:r>
    </w:p>
    <w:tbl>
      <w:tblPr>
        <w:tblW w:w="10205" w:type="dxa"/>
        <w:jc w:val="left"/>
        <w:tblInd w:w="0" w:type="dxa"/>
        <w:tblLayout w:type="fixed"/>
        <w:tblCellMar>
          <w:top w:w="28" w:type="dxa"/>
          <w:left w:w="28" w:type="dxa"/>
          <w:bottom w:w="28" w:type="dxa"/>
          <w:right w:w="28" w:type="dxa"/>
        </w:tblCellMar>
      </w:tblPr>
      <w:tblGrid>
        <w:gridCol w:w="823"/>
        <w:gridCol w:w="146"/>
        <w:gridCol w:w="5602"/>
        <w:gridCol w:w="146"/>
        <w:gridCol w:w="586"/>
        <w:gridCol w:w="146"/>
        <w:gridCol w:w="735"/>
        <w:gridCol w:w="146"/>
        <w:gridCol w:w="796"/>
        <w:gridCol w:w="146"/>
        <w:gridCol w:w="933"/>
      </w:tblGrid>
      <w:tr>
        <w:trPr/>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3" w:type="dxa"/>
            <w:tcBorders/>
            <w:shd w:fill="FFFFFF" w:val="clear"/>
            <w:vAlign w:val="center"/>
          </w:tcPr>
          <w:p>
            <w:pPr>
              <w:pStyle w:val="TableContents"/>
              <w:bidi w:val="0"/>
              <w:spacing w:before="0" w:after="283"/>
              <w:jc w:val="left"/>
              <w:rPr>
                <w:sz w:val="4"/>
                <w:szCs w:val="4"/>
              </w:rPr>
            </w:pPr>
            <w:r>
              <w:rPr>
                <w:sz w:val="4"/>
                <w:szCs w:val="4"/>
              </w:rPr>
            </w:r>
          </w:p>
        </w:tc>
      </w:tr>
      <w:tr>
        <w:trPr/>
        <w:tc>
          <w:tcPr>
            <w:tcW w:w="8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Calibri" w:hAnsi="Calibri"/>
                <w:sz w:val="20"/>
              </w:rPr>
            </w:pPr>
            <w:r>
              <w:rPr>
                <w:rFonts w:ascii="Times New Roman" w:hAnsi="Times New Roman"/>
                <w:b/>
                <w:color w:val="000000"/>
                <w:sz w:val="20"/>
              </w:rPr>
              <w:t>Exhibit</w:t>
            </w:r>
            <w:r>
              <w:rPr>
                <w:rFonts w:ascii="Times New Roman" w:hAnsi="Times New Roman"/>
                <w:color w:val="000000"/>
                <w:sz w:val="20"/>
              </w:rPr>
              <w:br/>
            </w: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0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Herewith</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Times New Roman" w:hAnsi="Times New Roman"/>
                <w:color w:val="000000"/>
                <w:sz w:val="20"/>
              </w:rPr>
              <w:t>2.1</w:t>
            </w:r>
            <w:r>
              <w:rPr>
                <w:rFonts w:ascii="Calibri" w:hAnsi="Calibri"/>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May 10, 2024, by and among Reneo Pharmaceuticals, Inc., Radiate Merger Sub I, Inc., Radiate Merger Sub II, LLC and OnKure, Inc</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5/13/2024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Pre-Funded Warrant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3/30/2026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2024 Equity Incentive Plan</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6/4/2026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w:anchor="oku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w:anchor="oku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2" w:type="dxa"/>
            <w:tcBorders/>
            <w:tcMar>
              <w:top w:w="0" w:type="dxa"/>
              <w:left w:w="0" w:type="dxa"/>
              <w:bottom w:w="0" w:type="dxa"/>
              <w:right w:w="0" w:type="dxa"/>
            </w:tcMar>
            <w:vAlign w:val="center"/>
          </w:tcPr>
          <w:p>
            <w:pPr>
              <w:pStyle w:val="TableContents"/>
              <w:bidi w:val="0"/>
              <w:spacing w:before="0" w:after="283"/>
              <w:jc w:val="left"/>
              <w:rPr/>
            </w:pPr>
            <w:hyperlink w:anchor="okur-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 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437"/>
        <w:gridCol w:w="146"/>
        <w:gridCol w:w="586"/>
        <w:gridCol w:w="146"/>
        <w:gridCol w:w="913"/>
        <w:gridCol w:w="146"/>
        <w:gridCol w:w="796"/>
        <w:gridCol w:w="146"/>
        <w:gridCol w:w="932"/>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Calibri" w:hAnsi="Calibri"/>
                <w:sz w:val="20"/>
              </w:rPr>
            </w:pPr>
            <w:r>
              <w:rPr>
                <w:rFonts w:ascii="Times New Roman" w:hAnsi="Times New Roman"/>
                <w:b/>
                <w:color w:val="000000"/>
                <w:sz w:val="20"/>
              </w:rPr>
              <w:t>Exhibit</w:t>
            </w:r>
            <w:r>
              <w:rPr>
                <w:rFonts w:ascii="Times New Roman" w:hAnsi="Times New Roman"/>
                <w:color w:val="000000"/>
                <w:sz w:val="20"/>
              </w:rPr>
              <w:br/>
            </w: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This certification shall not be deemed filed for purposes of Section 18 of the Exchange Act or otherwise subject to the liability of that Section, nor shall it be deemed incorporated by reference into any filing under the Securities Act or the Exchange Act.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300"/>
        <w:jc w:val="left"/>
        <w:rPr/>
      </w:pPr>
      <w:r>
        <w:rPr/>
        <w:t> </w:t>
      </w:r>
    </w:p>
    <w:p>
      <w:pPr>
        <w:pStyle w:val="TextBody"/>
        <w:bidi w:val="0"/>
        <w:jc w:val="center"/>
        <w:rPr>
          <w:rFonts w:ascii="Times New Roman" w:hAnsi="Times New Roman"/>
          <w:b/>
          <w:color w:val="000000"/>
          <w:sz w:val="20"/>
        </w:rPr>
      </w:pPr>
      <w:bookmarkStart w:id="21" w:name="signatures_349911"/>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4, 2026</w:t>
      </w:r>
    </w:p>
    <w:p>
      <w:pPr>
        <w:pStyle w:val="TextBody"/>
        <w:bidi w:val="0"/>
        <w:jc w:val="left"/>
        <w:rPr/>
      </w:pPr>
      <w:r>
        <w:rPr/>
        <w:t> </w:t>
      </w:r>
    </w:p>
    <w:tbl>
      <w:tblPr>
        <w:tblW w:w="4618" w:type="dxa"/>
        <w:jc w:val="left"/>
        <w:tblInd w:w="0" w:type="dxa"/>
        <w:tblLayout w:type="fixed"/>
        <w:tblCellMar>
          <w:top w:w="28" w:type="dxa"/>
          <w:left w:w="28" w:type="dxa"/>
          <w:bottom w:w="28" w:type="dxa"/>
          <w:right w:w="28" w:type="dxa"/>
        </w:tblCellMar>
      </w:tblPr>
      <w:tblGrid>
        <w:gridCol w:w="161"/>
        <w:gridCol w:w="631"/>
        <w:gridCol w:w="382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4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ONKURE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Nicholas A. Saccomano,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Nicholas A. Saccomano,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Jason Leverone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Leverone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Financial and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okur-ex31_1.htm"/>
      <w:bookmarkStart w:id="23" w:name="ksokurex31_1"/>
      <w:bookmarkEnd w:id="22"/>
      <w:bookmarkEnd w:id="23"/>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Nicholas A. Saccomano,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OnKure Therapeutics,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688" w:type="dxa"/>
        <w:jc w:val="left"/>
        <w:tblInd w:w="0" w:type="dxa"/>
        <w:tblLayout w:type="fixed"/>
        <w:tblCellMar>
          <w:top w:w="28" w:type="dxa"/>
          <w:left w:w="28" w:type="dxa"/>
          <w:bottom w:w="28" w:type="dxa"/>
          <w:right w:w="28" w:type="dxa"/>
        </w:tblCellMar>
      </w:tblPr>
      <w:tblGrid>
        <w:gridCol w:w="1846"/>
        <w:gridCol w:w="631"/>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A. Saccomano,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A. Saccomano,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okur-ex31_2.htm"/>
      <w:bookmarkStart w:id="25" w:name="ksokurex31_2"/>
      <w:bookmarkEnd w:id="24"/>
      <w:bookmarkEnd w:id="25"/>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Leverone,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OnKure Therapeutics,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243" w:type="dxa"/>
        <w:jc w:val="left"/>
        <w:tblInd w:w="0" w:type="dxa"/>
        <w:tblLayout w:type="fixed"/>
        <w:tblCellMar>
          <w:top w:w="28" w:type="dxa"/>
          <w:left w:w="28" w:type="dxa"/>
          <w:bottom w:w="28" w:type="dxa"/>
          <w:right w:w="28" w:type="dxa"/>
        </w:tblCellMar>
      </w:tblPr>
      <w:tblGrid>
        <w:gridCol w:w="1846"/>
        <w:gridCol w:w="631"/>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Leverone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Leverone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okur-ex32_1.htm"/>
      <w:bookmarkStart w:id="27" w:name="ksokurex32_1"/>
      <w:bookmarkEnd w:id="26"/>
      <w:bookmarkEnd w:id="27"/>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required by Section 906 of the Sarbanes-Oxley Act of 2002</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Nicholas A. Saccomano, President and Chief Executive Officer of OnKure Therapeutics, Inc. (the “Company”), and Jason Leverone, Chief Financial Officer of the Company, each hereby certifies that, to the best of his or her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quarterly period ended June 30, 2026, to which this Certification is attached as Exhibit 32.1 (the “Quarterly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the Company.</w:t>
      </w:r>
    </w:p>
    <w:p>
      <w:pPr>
        <w:pStyle w:val="TextBody"/>
        <w:bidi w:val="0"/>
        <w:jc w:val="left"/>
        <w:rPr/>
      </w:pPr>
      <w:r>
        <w:rPr/>
        <w:t> </w:t>
      </w:r>
    </w:p>
    <w:tbl>
      <w:tblPr>
        <w:tblW w:w="5688" w:type="dxa"/>
        <w:jc w:val="left"/>
        <w:tblInd w:w="0" w:type="dxa"/>
        <w:tblLayout w:type="fixed"/>
        <w:tblCellMar>
          <w:top w:w="28" w:type="dxa"/>
          <w:left w:w="28" w:type="dxa"/>
          <w:bottom w:w="28" w:type="dxa"/>
          <w:right w:w="28" w:type="dxa"/>
        </w:tblCellMar>
      </w:tblPr>
      <w:tblGrid>
        <w:gridCol w:w="1846"/>
        <w:gridCol w:w="631"/>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A. Saccomano,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A. Saccomano,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tbl>
      <w:tblPr>
        <w:tblW w:w="6243" w:type="dxa"/>
        <w:jc w:val="left"/>
        <w:tblInd w:w="0" w:type="dxa"/>
        <w:tblLayout w:type="fixed"/>
        <w:tblCellMar>
          <w:top w:w="28" w:type="dxa"/>
          <w:left w:w="28" w:type="dxa"/>
          <w:bottom w:w="28" w:type="dxa"/>
          <w:right w:w="28" w:type="dxa"/>
        </w:tblCellMar>
      </w:tblPr>
      <w:tblGrid>
        <w:gridCol w:w="1846"/>
        <w:gridCol w:w="631"/>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Leverone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Leverone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Quarterly Report to which it relates, is not deemed filed with the Securities and Exchange Commission and is not to be incorporated by reference into any filing of the Company under the Securities Act of 1933, as amended, or the Exchange Act (whether made before or after the date of the Quarterly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37715/000119312524136785/d838124d8k.htm" TargetMode="External"/><Relationship Id="rId3" Type="http://schemas.openxmlformats.org/officeDocument/2006/relationships/hyperlink" Target="https://www.sec.gov/Archives/edgar/data/1637715/000119312524234487/d836681dex32.htm" TargetMode="External"/><Relationship Id="rId4" Type="http://schemas.openxmlformats.org/officeDocument/2006/relationships/hyperlink" Target="https://www.sec.gov/Archives/edgar/data/1637715/000119312524234487/d836681dex33.htm" TargetMode="External"/><Relationship Id="rId5" Type="http://schemas.openxmlformats.org/officeDocument/2006/relationships/hyperlink" Target="https://www.sec.gov/Archives/edgar/data/1637715/000119312526130283/d910791dex41.htm" TargetMode="External"/><Relationship Id="rId6" Type="http://schemas.openxmlformats.org/officeDocument/2006/relationships/hyperlink" Target="https://www.sec.gov/Archives/edgar/data/1637715/000119312526257423/okur-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54051</Words>
  <Characters>303468</Characters>
  <CharactersWithSpaces>357988</CharactersWithSpaces>
  <Paragraphs>5308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