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37.xml.htm"/>
      <w:bookmarkStart w:id="1" w:name="ksform408112026_0808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Leverone Jason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ONKURE THEREAPEUTICS,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6707 WINCHESTER CIRCLE,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BOULDER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OnKure Therapeutics, Inc.</w:t>
              </w:r>
            </w:hyperlink>
            <w:r>
              <w:rPr/>
              <w:t xml:space="preserve"> [ </w:t>
            </w:r>
            <w:r>
              <w:rPr>
                <w:rFonts w:ascii="Times;serif" w:hAnsi="Times;serif"/>
                <w:color w:val="0000FF"/>
                <w:sz w:val="24"/>
                <w:shd w:fill="FFFFFF" w:val="clear"/>
              </w:rPr>
              <w:t>OKUR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5,781</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13.99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5,322</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130,611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130,611</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130,611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1/48th of the shares subject to the option shall vest on September 7, 2026 and each month thereafter,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All of the shares subject to this option are fully vested and exercisable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transactions reported herein reflect a one-time stock option repricing (the "Option Repricing") effective on August 7, 2026 (the "Effective Date"). The Option Repricing applies to options with exercise prices equal to or greater than $10.00 per share held by all continuing employees and certain other service providers of the Issuer as of the Effective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Option Repricing, the exercise price of the repriced options, including the reported option, has been amended to reduce the exercise price to $4.14 per share, the closing price of the Issuer's Class A Common Stock on the Effective Date. However, if an option holder exercises a repriced option before the end of a "Retention Period" through which the option holder must remain in service to the Issuer, then the option holder will be required to pay a premium exercise price that is equal to the original exercise price per share of such option. The "Retention Period" begins on the Effective Date of the Option Repricing and ends on the earliest to occur of the following: (i) February 7, 2028 or (ii) a Change in Control, as defined in the Issuer's 2021 Stock Incentive Plan or 2024 Equity Incentive Plan (as applicable). There was no change to the vesting schedules, expiration dates or number of shares underlying the repriced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1/48th of the shares subject to the option vested on May 1, 2023 and 1/48th of the shares subject to the option vest each month thereafter,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1/36th of the shares subject to the option vested on November 4, 2024 and 1/36th of the shares subject to the option vest each month thereafter, subject to the Reporting Person continuing as a service provider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Rogan Nunn,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2747" TargetMode="External"/><Relationship Id="rId5" Type="http://schemas.openxmlformats.org/officeDocument/2006/relationships/hyperlink" Target="http://www.sec.gov/cgi-bin/browse-edgar?action=getcompany&amp;CIK=0001637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1056</Words>
  <Characters>5494</Characters>
  <CharactersWithSpaces>6401</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