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32026_080937.xml.htm"/>
      <w:bookmarkStart w:id="1" w:name="ksform409232026_0809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Leverone Jason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ONKURE THEREAPEUTICS,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6707 WINCHESTER CIRCLE,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BOULDER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OnKure Therapeutics, Inc.</w:t>
              </w:r>
            </w:hyperlink>
            <w:r>
              <w:rPr/>
              <w:t xml:space="preserve"> [ </w:t>
            </w:r>
            <w:r>
              <w:rPr>
                <w:rFonts w:ascii="Times;serif" w:hAnsi="Times;serif"/>
                <w:color w:val="0000FF"/>
                <w:sz w:val="24"/>
                <w:shd w:fill="FFFFFF" w:val="clear"/>
              </w:rPr>
              <w:t>OKUR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2.9742</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18,500</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automatically sold to cover tax withholding obligations in connection with the vesting of restricted stock units ("RSUs"), pursuant to the terms of the Issuer's 2023 RSU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$2.95 to $3.06.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RSUs. Each RSU represents a contingent right to receive one share of Class A Common Stock, subject to the applicable vesting schedule and conditions of each RSU.</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Rogan Nunn,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2747" TargetMode="External"/><Relationship Id="rId5" Type="http://schemas.openxmlformats.org/officeDocument/2006/relationships/hyperlink" Target="http://www.sec.gov/cgi-bin/browse-edgar?action=getcompany&amp;CIK=0001637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3806</Characters>
  <CharactersWithSpaces>4439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