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5, 2026</w:t>
      </w:r>
    </w:p>
    <w:p>
      <w:pPr>
        <w:spacing w:after="0" w:line="117" w:lineRule="exact"/>
        <w:rPr>
          <w:sz w:val="24"/>
          <w:szCs w:val="24"/>
          <w:color w:val="auto"/>
        </w:rPr>
      </w:pPr>
    </w:p>
    <w:p>
      <w:pPr>
        <w:ind w:left="95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00"/>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ONKURE THERAPEUTICS, INC.</w:t>
      </w:r>
    </w:p>
    <w:p>
      <w:pPr>
        <w:spacing w:after="0" w:line="4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6" w:lineRule="exact"/>
        <w:rPr>
          <w:sz w:val="24"/>
          <w:szCs w:val="24"/>
          <w:color w:val="auto"/>
        </w:rPr>
      </w:pPr>
    </w:p>
    <w:tbl>
      <w:tblPr>
        <w:tblLayout w:type="fixed"/>
        <w:tblInd w:w="2860" w:type="dxa"/>
        <w:tblCellMar>
          <w:top w:w="0" w:type="dxa"/>
          <w:left w:w="0" w:type="dxa"/>
          <w:bottom w:w="0" w:type="dxa"/>
          <w:right w:w="0" w:type="dxa"/>
        </w:tblCellMar>
      </w:tblPr>
      <w:tr>
        <w:trPr>
          <w:trHeight w:val="203"/>
        </w:trPr>
        <w:tc>
          <w:tcPr>
            <w:tcW w:w="4100" w:type="dxa"/>
            <w:vAlign w:val="bottom"/>
          </w:tcPr>
          <w:p>
            <w:pPr>
              <w:jc w:val="center"/>
              <w:ind w:right="19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60" w:type="dxa"/>
            <w:vAlign w:val="bottom"/>
          </w:tcPr>
          <w:p>
            <w:pPr>
              <w:jc w:val="center"/>
              <w:ind w:left="1919"/>
              <w:spacing w:after="0"/>
              <w:rPr>
                <w:sz w:val="20"/>
                <w:szCs w:val="20"/>
                <w:color w:val="auto"/>
              </w:rPr>
            </w:pPr>
            <w:r>
              <w:rPr>
                <w:rFonts w:ascii="Times New Roman" w:cs="Times New Roman" w:eastAsia="Times New Roman" w:hAnsi="Times New Roman"/>
                <w:sz w:val="16"/>
                <w:szCs w:val="16"/>
                <w:b w:val="1"/>
                <w:bCs w:val="1"/>
                <w:color w:val="auto"/>
              </w:rPr>
              <w:t>47-2309515</w:t>
            </w:r>
          </w:p>
        </w:tc>
      </w:tr>
      <w:tr>
        <w:trPr>
          <w:trHeight w:val="203"/>
        </w:trPr>
        <w:tc>
          <w:tcPr>
            <w:tcW w:w="4100" w:type="dxa"/>
            <w:vAlign w:val="bottom"/>
          </w:tcPr>
          <w:p>
            <w:pPr>
              <w:jc w:val="center"/>
              <w:ind w:right="191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260" w:type="dxa"/>
            <w:vAlign w:val="bottom"/>
          </w:tcPr>
          <w:p>
            <w:pPr>
              <w:jc w:val="center"/>
              <w:ind w:left="19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100" w:type="dxa"/>
            <w:vAlign w:val="bottom"/>
          </w:tcPr>
          <w:p>
            <w:pPr>
              <w:jc w:val="center"/>
              <w:ind w:right="191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260" w:type="dxa"/>
            <w:vAlign w:val="bottom"/>
          </w:tcPr>
          <w:p>
            <w:pPr>
              <w:jc w:val="center"/>
              <w:ind w:left="19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6707 Winchester Circle, Suite 400</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Boulder, Colorado 80301</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OnKure Therapeutics, Inc. Amended and Restated 2024 Equity Incentive Plan</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(Full title of the plan)</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Nicholas A. Saccomano</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President and Chief Executive Officer</w:t>
      </w:r>
    </w:p>
    <w:p>
      <w:pPr>
        <w:jc w:val="center"/>
        <w:ind w:right="-19"/>
        <w:spacing w:after="0" w:line="237" w:lineRule="auto"/>
        <w:rPr>
          <w:sz w:val="20"/>
          <w:szCs w:val="20"/>
          <w:color w:val="auto"/>
        </w:rPr>
      </w:pPr>
      <w:r>
        <w:rPr>
          <w:rFonts w:ascii="Times New Roman" w:cs="Times New Roman" w:eastAsia="Times New Roman" w:hAnsi="Times New Roman"/>
          <w:sz w:val="19"/>
          <w:szCs w:val="19"/>
          <w:b w:val="1"/>
          <w:bCs w:val="1"/>
          <w:color w:val="auto"/>
        </w:rPr>
        <w:t>6707 Winchester Circle, Suite 400</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Boulder, CO 80301</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(720) 307-2892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(Name, address and telephone number, including area code, of agent for service)</w:t>
      </w:r>
    </w:p>
    <w:p>
      <w:pPr>
        <w:spacing w:after="0" w:line="8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09"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9"/>
          <w:szCs w:val="19"/>
          <w:b w:val="1"/>
          <w:bCs w:val="1"/>
          <w:color w:val="auto"/>
        </w:rPr>
        <w:t>Tony Jeffries</w:t>
      </w:r>
    </w:p>
    <w:p>
      <w:pPr>
        <w:spacing w:after="0" w:line="1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9"/>
          <w:szCs w:val="19"/>
          <w:b w:val="1"/>
          <w:bCs w:val="1"/>
          <w:color w:val="auto"/>
        </w:rPr>
        <w:t>Jennifer Knapp</w:t>
      </w:r>
    </w:p>
    <w:p>
      <w:pPr>
        <w:ind w:left="5040"/>
        <w:spacing w:after="0" w:line="237" w:lineRule="auto"/>
        <w:rPr>
          <w:sz w:val="20"/>
          <w:szCs w:val="20"/>
          <w:color w:val="auto"/>
        </w:rPr>
      </w:pPr>
      <w:r>
        <w:rPr>
          <w:rFonts w:ascii="Times New Roman" w:cs="Times New Roman" w:eastAsia="Times New Roman" w:hAnsi="Times New Roman"/>
          <w:sz w:val="19"/>
          <w:szCs w:val="19"/>
          <w:b w:val="1"/>
          <w:bCs w:val="1"/>
          <w:color w:val="auto"/>
        </w:rPr>
        <w:t>Phillip McGill</w:t>
      </w:r>
    </w:p>
    <w:p>
      <w:pPr>
        <w:ind w:left="4020"/>
        <w:spacing w:after="0" w:line="237" w:lineRule="auto"/>
        <w:rPr>
          <w:sz w:val="20"/>
          <w:szCs w:val="20"/>
          <w:color w:val="auto"/>
        </w:rPr>
      </w:pPr>
      <w:r>
        <w:rPr>
          <w:rFonts w:ascii="Times New Roman" w:cs="Times New Roman" w:eastAsia="Times New Roman" w:hAnsi="Times New Roman"/>
          <w:sz w:val="19"/>
          <w:szCs w:val="19"/>
          <w:b w:val="1"/>
          <w:bCs w:val="1"/>
          <w:color w:val="auto"/>
        </w:rPr>
        <w:t>Wilson Sonsini Goodrich &amp; Rosati, P.C.</w:t>
      </w:r>
    </w:p>
    <w:p>
      <w:pPr>
        <w:ind w:left="4440"/>
        <w:spacing w:after="0" w:line="237" w:lineRule="auto"/>
        <w:rPr>
          <w:sz w:val="20"/>
          <w:szCs w:val="20"/>
          <w:color w:val="auto"/>
        </w:rPr>
      </w:pPr>
      <w:r>
        <w:rPr>
          <w:rFonts w:ascii="Times New Roman" w:cs="Times New Roman" w:eastAsia="Times New Roman" w:hAnsi="Times New Roman"/>
          <w:sz w:val="19"/>
          <w:szCs w:val="19"/>
          <w:b w:val="1"/>
          <w:bCs w:val="1"/>
          <w:color w:val="auto"/>
        </w:rPr>
        <w:t>1155 Canyon Blvd., Suite 400</w:t>
      </w:r>
    </w:p>
    <w:p>
      <w:pPr>
        <w:ind w:left="4840"/>
        <w:spacing w:after="0" w:line="238" w:lineRule="auto"/>
        <w:rPr>
          <w:sz w:val="20"/>
          <w:szCs w:val="20"/>
          <w:color w:val="auto"/>
        </w:rPr>
      </w:pPr>
      <w:r>
        <w:rPr>
          <w:rFonts w:ascii="Times New Roman" w:cs="Times New Roman" w:eastAsia="Times New Roman" w:hAnsi="Times New Roman"/>
          <w:sz w:val="19"/>
          <w:szCs w:val="19"/>
          <w:b w:val="1"/>
          <w:bCs w:val="1"/>
          <w:color w:val="auto"/>
        </w:rPr>
        <w:t>Boulder, CO 80302</w:t>
      </w:r>
    </w:p>
    <w:p>
      <w:pPr>
        <w:ind w:left="5020"/>
        <w:spacing w:after="0"/>
        <w:rPr>
          <w:sz w:val="20"/>
          <w:szCs w:val="20"/>
          <w:color w:val="auto"/>
        </w:rPr>
      </w:pPr>
      <w:r>
        <w:rPr>
          <w:rFonts w:ascii="Times New Roman" w:cs="Times New Roman" w:eastAsia="Times New Roman" w:hAnsi="Times New Roman"/>
          <w:sz w:val="19"/>
          <w:szCs w:val="19"/>
          <w:b w:val="1"/>
          <w:bCs w:val="1"/>
          <w:color w:val="auto"/>
        </w:rPr>
        <w:t>(303) 256-5900</w:t>
      </w:r>
    </w:p>
    <w:p>
      <w:pPr>
        <w:spacing w:after="0" w:line="6"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7"/>
        </w:trPr>
        <w:tc>
          <w:tcPr>
            <w:tcW w:w="3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4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Registration Statement on Form S-8 (the “Registration Statement”) is filed by OnKure Therapeutics, Inc. (the “Registrant”) for the purpose of registering 3,231,638 additional shares of Class A common stock, par value $0.0001 per share (the “Class A Common Stock”) of the Registrant reserved for issuance under the OnKure Therapeutics, Inc. Amended and Restated 2024 Equity Incentive Plan (the “Restated 2024 Plan”).</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number of shares of Class A Common Stock available for issuance under the Restated 2024 Plan was increased by 3,231,638 shares upon the Registrant obtaining stockholder approval of the Restated 2024 Plan at the Registrant’s 2026 Annual Meeting of Stockholders on June 3, 2026 and is subject to an annual increase on the first day of each fiscal year in an amount equal to 5.0% of all classes of the Registrant’s common stock outstanding on the last day of the immediately prior fiscal year or such lesser number of shares determined by the administrator of the 2024 Restated Plan.</w:t>
      </w:r>
    </w:p>
    <w:p>
      <w:pPr>
        <w:spacing w:after="0" w:line="198"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All of the shares registered pursuant to this Registration Statement became available for issuance under the 2024 Restated Plan on June 3, 2026</w:t>
      </w:r>
      <w:r>
        <w:rPr>
          <w:rFonts w:ascii="Times New Roman" w:cs="Times New Roman" w:eastAsia="Times New Roman" w:hAnsi="Times New Roman"/>
          <w:sz w:val="17"/>
          <w:szCs w:val="17"/>
          <w:color w:val="auto"/>
        </w:rPr>
        <w: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b w:val="1"/>
          <w:bCs w:val="1"/>
          <w:color w:val="auto"/>
        </w:rPr>
        <w:t>INFORMATION REQUIRED IN REGISTRATION STATEMENT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Incorporation of Documents by Reference.</w:t>
      </w:r>
    </w:p>
    <w:p>
      <w:pPr>
        <w:spacing w:after="0" w:line="220" w:lineRule="exact"/>
        <w:rPr>
          <w:sz w:val="20"/>
          <w:szCs w:val="20"/>
          <w:color w:val="auto"/>
        </w:rPr>
      </w:pPr>
    </w:p>
    <w:p>
      <w:pPr>
        <w:ind w:right="40"/>
        <w:spacing w:after="0" w:line="248" w:lineRule="auto"/>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 xml:space="preserve">The Registrant previously registered shares of its Class A Common Stock for issuance under the OnKure Therapeutics, Inc. 2024 Equity Inventive Plan on Registration Statements on Form S-8 filed by the Registrant with the Securities and Exchange Commission (the “SEC”) on </w:t>
      </w:r>
      <w:hyperlink r:id="rId13">
        <w:r>
          <w:rPr>
            <w:rFonts w:ascii="Times New Roman" w:cs="Times New Roman" w:eastAsia="Times New Roman" w:hAnsi="Times New Roman"/>
            <w:sz w:val="20"/>
            <w:szCs w:val="20"/>
            <w:u w:val="single" w:color="auto"/>
            <w:color w:val="0000FF"/>
          </w:rPr>
          <w:t>December 9, 2024</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00"/>
        </w:rPr>
        <w:t>(File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No. 333-283693),</w:t>
      </w:r>
      <w:r>
        <w:rPr>
          <w:rFonts w:ascii="Times New Roman" w:cs="Times New Roman" w:eastAsia="Times New Roman" w:hAnsi="Times New Roman"/>
          <w:sz w:val="20"/>
          <w:szCs w:val="20"/>
          <w:color w:val="0000FF"/>
        </w:rPr>
        <w:t xml:space="preserve"> </w:t>
      </w:r>
      <w:hyperlink r:id="rId14">
        <w:r>
          <w:rPr>
            <w:rFonts w:ascii="Times New Roman" w:cs="Times New Roman" w:eastAsia="Times New Roman" w:hAnsi="Times New Roman"/>
            <w:sz w:val="20"/>
            <w:szCs w:val="20"/>
            <w:u w:val="single" w:color="auto"/>
            <w:color w:val="0000FF"/>
          </w:rPr>
          <w:t xml:space="preserve">March 10, 2025 </w:t>
        </w:r>
      </w:hyperlink>
      <w:r>
        <w:rPr>
          <w:rFonts w:ascii="Times New Roman" w:cs="Times New Roman" w:eastAsia="Times New Roman" w:hAnsi="Times New Roman"/>
          <w:sz w:val="20"/>
          <w:szCs w:val="20"/>
          <w:color w:val="000000"/>
        </w:rPr>
        <w:t>(File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No. 333-285680) and</w:t>
      </w:r>
      <w:r>
        <w:rPr>
          <w:rFonts w:ascii="Times New Roman" w:cs="Times New Roman" w:eastAsia="Times New Roman" w:hAnsi="Times New Roman"/>
          <w:sz w:val="20"/>
          <w:szCs w:val="20"/>
          <w:color w:val="0000FF"/>
        </w:rPr>
        <w:t xml:space="preserve"> </w:t>
      </w:r>
      <w:hyperlink r:id="rId15">
        <w:r>
          <w:rPr>
            <w:rFonts w:ascii="Times New Roman" w:cs="Times New Roman" w:eastAsia="Times New Roman" w:hAnsi="Times New Roman"/>
            <w:sz w:val="20"/>
            <w:szCs w:val="20"/>
            <w:u w:val="single" w:color="auto"/>
            <w:color w:val="0000FF"/>
          </w:rPr>
          <w:t xml:space="preserve">March 12, 2026 </w:t>
        </w:r>
      </w:hyperlink>
      <w:r>
        <w:rPr>
          <w:rFonts w:ascii="Times New Roman" w:cs="Times New Roman" w:eastAsia="Times New Roman" w:hAnsi="Times New Roman"/>
          <w:sz w:val="20"/>
          <w:szCs w:val="20"/>
          <w:color w:val="000000"/>
        </w:rPr>
        <w:t>(File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No. 333-294248) (the “Previous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Forms S-8”). Accordingly, pursuant to General Instruction E of Form S-8, this Registration Statement hereby incorporates by reference the contents of the Previous Forms S-8, including the information incorporated by reference therein and the periodic reports filed after the Previous Forms S-8 to maintain current information about the Registrant, except as set forth below.</w:t>
      </w:r>
    </w:p>
    <w:p>
      <w:pPr>
        <w:spacing w:after="0" w:line="181" w:lineRule="exact"/>
        <w:rPr>
          <w:rFonts w:ascii="Times New Roman" w:cs="Times New Roman" w:eastAsia="Times New Roman" w:hAnsi="Times New Roman"/>
          <w:sz w:val="20"/>
          <w:szCs w:val="20"/>
          <w:color w:val="0000FF"/>
        </w:rPr>
      </w:pPr>
    </w:p>
    <w:p>
      <w:pPr>
        <w:spacing w:after="0"/>
        <w:rPr>
          <w:sz w:val="20"/>
          <w:szCs w:val="20"/>
          <w:color w:val="auto"/>
        </w:rPr>
      </w:pPr>
      <w:r>
        <w:rPr>
          <w:rFonts w:ascii="Times New Roman" w:cs="Times New Roman" w:eastAsia="Times New Roman" w:hAnsi="Times New Roman"/>
          <w:sz w:val="20"/>
          <w:szCs w:val="20"/>
          <w:color w:val="auto"/>
        </w:rPr>
        <w:t>The following documents filed by the Registrant with the SEC are incorporated by reference into this Registration Statement:</w:t>
      </w:r>
    </w:p>
    <w:p>
      <w:pPr>
        <w:spacing w:after="0" w:line="108" w:lineRule="exact"/>
        <w:rPr>
          <w:rFonts w:ascii="Times New Roman" w:cs="Times New Roman" w:eastAsia="Times New Roman" w:hAnsi="Times New Roman"/>
          <w:sz w:val="20"/>
          <w:szCs w:val="20"/>
          <w:color w:val="0000FF"/>
        </w:rPr>
      </w:pPr>
    </w:p>
    <w:p>
      <w:pPr>
        <w:ind w:left="1020" w:right="260" w:hanging="503"/>
        <w:spacing w:after="0" w:line="269" w:lineRule="auto"/>
        <w:tabs>
          <w:tab w:leader="none" w:pos="1020" w:val="left"/>
        </w:tabs>
        <w:numPr>
          <w:ilvl w:val="0"/>
          <w:numId w:val="1"/>
        </w:numPr>
        <w:rPr>
          <w:rFonts w:ascii="Times New Roman" w:cs="Times New Roman" w:eastAsia="Times New Roman" w:hAnsi="Times New Roman"/>
          <w:sz w:val="20"/>
          <w:szCs w:val="20"/>
          <w:color w:val="0000FF"/>
        </w:rPr>
      </w:pPr>
      <w:hyperlink r:id="rId16">
        <w:r>
          <w:rPr>
            <w:rFonts w:ascii="Times New Roman" w:cs="Times New Roman" w:eastAsia="Times New Roman" w:hAnsi="Times New Roman"/>
            <w:sz w:val="20"/>
            <w:szCs w:val="20"/>
            <w:u w:val="single" w:color="auto"/>
            <w:color w:val="0000FF"/>
          </w:rPr>
          <w:t>The Registrant’s Annual Report on Form 10-K for the fiscal year ended December 31, 2025, filed with the SEC on March 12,</w:t>
        </w:r>
      </w:hyperlink>
      <w:r>
        <w:rPr>
          <w:rFonts w:ascii="Times New Roman" w:cs="Times New Roman" w:eastAsia="Times New Roman" w:hAnsi="Times New Roman"/>
          <w:sz w:val="20"/>
          <w:szCs w:val="20"/>
          <w:u w:val="single" w:color="auto"/>
          <w:color w:val="0000FF"/>
        </w:rPr>
        <w:t xml:space="preserve"> </w:t>
      </w:r>
      <w:hyperlink r:id="rId16">
        <w:r>
          <w:rPr>
            <w:rFonts w:ascii="Times New Roman" w:cs="Times New Roman" w:eastAsia="Times New Roman" w:hAnsi="Times New Roman"/>
            <w:sz w:val="20"/>
            <w:szCs w:val="20"/>
            <w:u w:val="single" w:color="auto"/>
            <w:color w:val="0000FF"/>
          </w:rPr>
          <w:t>2026 (File No. 001-40315)</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“Annual Report”);</w:t>
        </w:r>
      </w:hyperlink>
    </w:p>
    <w:p>
      <w:pPr>
        <w:spacing w:after="0" w:line="51" w:lineRule="exact"/>
        <w:rPr>
          <w:rFonts w:ascii="Times New Roman" w:cs="Times New Roman" w:eastAsia="Times New Roman" w:hAnsi="Times New Roman"/>
          <w:sz w:val="20"/>
          <w:szCs w:val="20"/>
          <w:color w:val="0000FF"/>
        </w:rPr>
      </w:pPr>
    </w:p>
    <w:p>
      <w:pPr>
        <w:ind w:left="1020" w:right="100" w:hanging="503"/>
        <w:spacing w:after="0" w:line="254" w:lineRule="auto"/>
        <w:tabs>
          <w:tab w:leader="none" w:pos="10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reports filed with the SEC pursuant to Section 13(a) or 15(d) of the Securities Exchange Act of 1934, as amended (the “Exchange Act”), since the end of the fiscal year covered by the Annual Report (other than reports, documents or information, or portions thereof, deemed to have been furnished and not filed in accordance with the rules of the SEC); and</w:t>
      </w:r>
    </w:p>
    <w:p>
      <w:pPr>
        <w:spacing w:after="0" w:line="66" w:lineRule="exact"/>
        <w:rPr>
          <w:rFonts w:ascii="Times New Roman" w:cs="Times New Roman" w:eastAsia="Times New Roman" w:hAnsi="Times New Roman"/>
          <w:sz w:val="20"/>
          <w:szCs w:val="20"/>
          <w:color w:val="auto"/>
        </w:rPr>
      </w:pPr>
    </w:p>
    <w:p>
      <w:pPr>
        <w:ind w:left="1020" w:right="120" w:hanging="503"/>
        <w:spacing w:after="0" w:line="254" w:lineRule="auto"/>
        <w:tabs>
          <w:tab w:leader="none" w:pos="10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description of the Registrant’s Class A Common Stock contained in </w:t>
      </w:r>
      <w:hyperlink r:id="rId17">
        <w:r>
          <w:rPr>
            <w:rFonts w:ascii="Times New Roman" w:cs="Times New Roman" w:eastAsia="Times New Roman" w:hAnsi="Times New Roman"/>
            <w:sz w:val="20"/>
            <w:szCs w:val="20"/>
            <w:u w:val="single" w:color="auto"/>
            <w:color w:val="0000FF"/>
          </w:rPr>
          <w:t>Exhibit 4.2</w:t>
        </w:r>
        <w:r>
          <w:rPr>
            <w:rFonts w:ascii="Times New Roman" w:cs="Times New Roman" w:eastAsia="Times New Roman" w:hAnsi="Times New Roman"/>
            <w:sz w:val="20"/>
            <w:szCs w:val="20"/>
            <w:u w:val="single" w:color="auto"/>
            <w:color w:val="auto"/>
          </w:rPr>
          <w:t xml:space="preserve"> </w:t>
        </w:r>
      </w:hyperlink>
      <w:r>
        <w:rPr>
          <w:rFonts w:ascii="Times New Roman" w:cs="Times New Roman" w:eastAsia="Times New Roman" w:hAnsi="Times New Roman"/>
          <w:sz w:val="20"/>
          <w:szCs w:val="20"/>
          <w:color w:val="auto"/>
        </w:rPr>
        <w:t>to the Registrant’s Annual Report on Form 10-K filed with the SEC on March 12, 2026, including any amendment or report filed for the purpose of updating such description.</w:t>
      </w:r>
    </w:p>
    <w:p>
      <w:pPr>
        <w:spacing w:after="0" w:line="174" w:lineRule="exact"/>
        <w:rPr>
          <w:rFonts w:ascii="Times New Roman" w:cs="Times New Roman" w:eastAsia="Times New Roman" w:hAnsi="Times New Roman"/>
          <w:sz w:val="20"/>
          <w:szCs w:val="20"/>
          <w:u w:val="single" w:color="auto"/>
          <w:color w:val="0000FF"/>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 xml:space="preserve">All other reports or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of this Registration Statement from the date of filing of such reports and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reports, documents and information, or portions thereof,</w:t>
      </w:r>
    </w:p>
    <w:p>
      <w:pPr>
        <w:spacing w:after="0" w:line="20" w:lineRule="exact"/>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ind w:right="40"/>
        <w:spacing w:after="0" w:line="245" w:lineRule="auto"/>
        <w:rPr>
          <w:sz w:val="20"/>
          <w:szCs w:val="20"/>
          <w:color w:val="auto"/>
        </w:rPr>
      </w:pPr>
      <w:r>
        <w:rPr>
          <w:rFonts w:ascii="Times New Roman" w:cs="Times New Roman" w:eastAsia="Times New Roman" w:hAnsi="Times New Roman"/>
          <w:sz w:val="20"/>
          <w:szCs w:val="20"/>
          <w:color w:val="auto"/>
        </w:rPr>
        <w:t>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Exhibits.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Registrant has filed the exhibits listed on the accompanying Exhibit Index of this Registration Statement.</w:t>
      </w: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EXHIBIT INDEX</w:t>
      </w:r>
    </w:p>
    <w:p>
      <w:pPr>
        <w:sectPr>
          <w:pgSz w:w="11900" w:h="16838" w:orient="portrait"/>
          <w:cols w:equalWidth="0" w:num="1">
            <w:col w:w="11140"/>
          </w:cols>
          <w:pgMar w:left="320" w:top="981" w:right="439" w:bottom="1440" w:gutter="0" w:footer="0" w:header="0"/>
        </w:sectPr>
      </w:pP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10"/>
          </w:tcPr>
          <w:p>
            <w:pPr>
              <w:ind w:left="3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39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Amended and Restated Certificate of Incorporation, as</w:t>
              </w:r>
            </w:hyperlink>
          </w:p>
        </w:tc>
        <w:tc>
          <w:tcPr>
            <w:tcW w:w="58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13"/>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amended, of OnKure Therapeutics, Inc</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0"/>
                <w:szCs w:val="20"/>
                <w:color w:val="auto"/>
              </w:rPr>
            </w:pPr>
          </w:p>
        </w:tc>
        <w:tc>
          <w:tcPr>
            <w:tcW w:w="4560" w:type="dxa"/>
            <w:vAlign w:val="bottom"/>
            <w:gridSpan w:val="13"/>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Amended and Restated Bylaws of OnKure Therapeutics, Inc</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0"/>
                <w:szCs w:val="20"/>
                <w:color w:val="auto"/>
              </w:rPr>
            </w:pPr>
          </w:p>
        </w:tc>
        <w:tc>
          <w:tcPr>
            <w:tcW w:w="4360" w:type="dxa"/>
            <w:vAlign w:val="bottom"/>
            <w:tcBorders>
              <w:top w:val="single" w:sz="8" w:color="0000FF"/>
            </w:tcBorders>
            <w:gridSpan w:val="10"/>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Amended and Restated 2024 Equity Incentive Plan</w:t>
              </w:r>
            </w:hyperlink>
            <w:r>
              <w:rPr>
                <w:rFonts w:ascii="Times New Roman" w:cs="Times New Roman" w:eastAsia="Times New Roman" w:hAnsi="Times New Roman"/>
                <w:sz w:val="18"/>
                <w:szCs w:val="18"/>
                <w:color w:val="000000"/>
              </w:rPr>
              <w:t>.</w:t>
            </w:r>
          </w:p>
        </w:tc>
        <w:tc>
          <w:tcPr>
            <w:tcW w:w="2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7"/>
                <w:szCs w:val="17"/>
                <w:color w:val="auto"/>
              </w:rPr>
            </w:pPr>
          </w:p>
        </w:tc>
        <w:tc>
          <w:tcPr>
            <w:tcW w:w="45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Form of Stock Option Agreement Under 2024 Equity Incentive</w:t>
              </w:r>
            </w:hyperlink>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560" w:type="dxa"/>
            <w:vAlign w:val="bottom"/>
            <w:gridSpan w:val="13"/>
            <w:vMerge w:val="restart"/>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Plan</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56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7"/>
                <w:szCs w:val="17"/>
                <w:color w:val="auto"/>
              </w:rPr>
            </w:pPr>
          </w:p>
        </w:tc>
        <w:tc>
          <w:tcPr>
            <w:tcW w:w="44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Form of Restricted Stock Unit Agreement Under 2024 Equity</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560" w:type="dxa"/>
            <w:vAlign w:val="bottom"/>
            <w:gridSpan w:val="1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Incentive Plan</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56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0"/>
                <w:szCs w:val="20"/>
                <w:color w:val="auto"/>
              </w:rPr>
            </w:pPr>
          </w:p>
        </w:tc>
        <w:tc>
          <w:tcPr>
            <w:tcW w:w="45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Opinion of Wilson Sonsini Goodrich &amp; Rosati, P.C.</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0"/>
                <w:szCs w:val="20"/>
                <w:color w:val="auto"/>
              </w:rPr>
            </w:pPr>
          </w:p>
        </w:tc>
        <w:tc>
          <w:tcPr>
            <w:tcW w:w="39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Consent of KPMG LLP, independent registered public</w:t>
            </w:r>
          </w:p>
        </w:tc>
        <w:tc>
          <w:tcPr>
            <w:tcW w:w="58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20"/>
                <w:szCs w:val="20"/>
                <w:color w:val="auto"/>
              </w:rPr>
            </w:pPr>
          </w:p>
        </w:tc>
        <w:tc>
          <w:tcPr>
            <w:tcW w:w="4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Consent of Wilson Sonsini Goodrich &amp; Rosati, P.C. (included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in Exhibit 5.1 hereto).</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20"/>
                <w:szCs w:val="20"/>
                <w:color w:val="auto"/>
              </w:rPr>
            </w:pPr>
          </w:p>
        </w:tc>
        <w:tc>
          <w:tcPr>
            <w:tcW w:w="4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the signature page hereto).</w:t>
            </w:r>
          </w:p>
        </w:tc>
        <w:tc>
          <w:tcPr>
            <w:tcW w:w="32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360" w:hanging="876"/>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466"/>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001-40315</w:t>
            </w:r>
          </w:p>
        </w:tc>
        <w:tc>
          <w:tcPr>
            <w:tcW w:w="10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8, 2024</w:t>
            </w:r>
          </w:p>
        </w:tc>
      </w:tr>
      <w:tr>
        <w:trPr>
          <w:trHeight w:val="257"/>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001-40315</w:t>
            </w:r>
          </w:p>
        </w:tc>
        <w:tc>
          <w:tcPr>
            <w:tcW w:w="10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3.3</w:t>
            </w:r>
          </w:p>
        </w:tc>
        <w:tc>
          <w:tcPr>
            <w:tcW w:w="2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8, 2024</w:t>
            </w:r>
          </w:p>
        </w:tc>
      </w:tr>
      <w:tr>
        <w:trPr>
          <w:trHeight w:val="257"/>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001-40315</w:t>
            </w:r>
          </w:p>
        </w:tc>
        <w:tc>
          <w:tcPr>
            <w:tcW w:w="10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338"/>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S-4/A</w:t>
            </w:r>
          </w:p>
        </w:tc>
        <w:tc>
          <w:tcPr>
            <w:tcW w:w="14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333-28069</w:t>
            </w:r>
          </w:p>
        </w:tc>
        <w:tc>
          <w:tcPr>
            <w:tcW w:w="10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10.33</w:t>
            </w: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19, 2024</w:t>
            </w:r>
          </w:p>
        </w:tc>
      </w:tr>
    </w:tbl>
    <w:p>
      <w:pPr>
        <w:sectPr>
          <w:pgSz w:w="11900" w:h="16838" w:orient="portrait"/>
          <w:cols w:equalWidth="0" w:num="2">
            <w:col w:w="5920" w:space="220"/>
            <w:col w:w="5000"/>
          </w:cols>
          <w:pgMar w:left="320" w:top="981" w:right="439" w:bottom="1440" w:gutter="0" w:footer="0" w:header="0"/>
          <w:type w:val="continuous"/>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1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Boulder, State of Colorado, on June 5, 2026.</w:t>
      </w:r>
    </w:p>
    <w:p>
      <w:pPr>
        <w:spacing w:after="0" w:line="7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ONKURE THERAPEUTICS, INC.</w:t>
      </w:r>
    </w:p>
    <w:p>
      <w:pPr>
        <w:spacing w:after="0" w:line="233" w:lineRule="exact"/>
        <w:rPr>
          <w:sz w:val="20"/>
          <w:szCs w:val="20"/>
          <w:color w:val="auto"/>
        </w:rPr>
      </w:pPr>
    </w:p>
    <w:p>
      <w:pPr>
        <w:ind w:left="5080"/>
        <w:spacing w:after="0"/>
        <w:tabs>
          <w:tab w:leader="none" w:pos="6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Nicholas A. Saccomano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13970</wp:posOffset>
            </wp:positionV>
            <wp:extent cx="319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Nicholas A. Saccomano</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1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hereby constitutes and appoints Nicholas A. Saccomano and Jason Leverone, and each of them, as his or her true and lawful attorney-in-fact and agent with full power of substitution and resubstitution, for such person in any and all capacities, to sign any and all amendments to this Registration Statement (including post-effective amendments) on Form S-8,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such person might or could do in person, hereby ratifying and confirming all that any said attorney-in-fact, proxy and agent, or any substitute of any of them, may lawfully do or cause to be done by virtue hereof.</w:t>
      </w:r>
    </w:p>
    <w:p>
      <w:pPr>
        <w:spacing w:after="0" w:line="81"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this Registration Statement has been signed by the following persons in the capacities and on the dates indicated: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0" w:type="dxa"/>
            <w:vAlign w:val="bottom"/>
          </w:tcPr>
          <w:p>
            <w:pPr>
              <w:spacing w:after="0"/>
              <w:rPr>
                <w:sz w:val="20"/>
                <w:szCs w:val="20"/>
                <w:color w:val="auto"/>
              </w:rPr>
            </w:pPr>
          </w:p>
        </w:tc>
        <w:tc>
          <w:tcPr>
            <w:tcW w:w="542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96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A. Saccomano</w:t>
            </w:r>
          </w:p>
        </w:tc>
        <w:tc>
          <w:tcPr>
            <w:tcW w:w="40" w:type="dxa"/>
            <w:vAlign w:val="bottom"/>
          </w:tcPr>
          <w:p>
            <w:pPr>
              <w:spacing w:after="0"/>
              <w:rPr>
                <w:sz w:val="24"/>
                <w:szCs w:val="24"/>
                <w:color w:val="auto"/>
              </w:rPr>
            </w:pPr>
          </w:p>
        </w:tc>
        <w:tc>
          <w:tcPr>
            <w:tcW w:w="54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2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 5, 2026</w:t>
            </w: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Nicholas A. Saccomano</w:t>
            </w:r>
          </w:p>
        </w:tc>
        <w:tc>
          <w:tcPr>
            <w:tcW w:w="40" w:type="dxa"/>
            <w:vAlign w:val="bottom"/>
          </w:tcPr>
          <w:p>
            <w:pPr>
              <w:spacing w:after="0"/>
              <w:rPr>
                <w:sz w:val="22"/>
                <w:szCs w:val="22"/>
                <w:color w:val="auto"/>
              </w:rPr>
            </w:pPr>
          </w:p>
        </w:tc>
        <w:tc>
          <w:tcPr>
            <w:tcW w:w="54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960" w:type="dxa"/>
            <w:vAlign w:val="bottom"/>
          </w:tcPr>
          <w:p>
            <w:pPr>
              <w:spacing w:after="0"/>
              <w:rPr>
                <w:sz w:val="22"/>
                <w:szCs w:val="22"/>
                <w:color w:val="auto"/>
              </w:rPr>
            </w:pPr>
          </w:p>
        </w:tc>
      </w:tr>
      <w:tr>
        <w:trPr>
          <w:trHeight w:val="45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Leverone</w:t>
            </w:r>
          </w:p>
        </w:tc>
        <w:tc>
          <w:tcPr>
            <w:tcW w:w="40" w:type="dxa"/>
            <w:vAlign w:val="bottom"/>
          </w:tcPr>
          <w:p>
            <w:pPr>
              <w:spacing w:after="0"/>
              <w:rPr>
                <w:sz w:val="24"/>
                <w:szCs w:val="24"/>
                <w:color w:val="auto"/>
              </w:rPr>
            </w:pPr>
          </w:p>
        </w:tc>
        <w:tc>
          <w:tcPr>
            <w:tcW w:w="54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Jason Leverone</w:t>
            </w:r>
          </w:p>
        </w:tc>
        <w:tc>
          <w:tcPr>
            <w:tcW w:w="40" w:type="dxa"/>
            <w:vAlign w:val="bottom"/>
          </w:tcPr>
          <w:p>
            <w:pPr>
              <w:spacing w:after="0"/>
              <w:rPr>
                <w:sz w:val="19"/>
                <w:szCs w:val="19"/>
                <w:color w:val="auto"/>
              </w:rPr>
            </w:pPr>
          </w:p>
        </w:tc>
        <w:tc>
          <w:tcPr>
            <w:tcW w:w="54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2960" w:type="dxa"/>
            <w:vAlign w:val="bottom"/>
          </w:tcPr>
          <w:p>
            <w:pPr>
              <w:spacing w:after="0"/>
              <w:rPr>
                <w:sz w:val="19"/>
                <w:szCs w:val="19"/>
                <w:color w:val="auto"/>
              </w:rPr>
            </w:pPr>
          </w:p>
        </w:tc>
      </w:tr>
      <w:tr>
        <w:trPr>
          <w:trHeight w:val="41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Michael Carruthers</w:t>
            </w:r>
          </w:p>
        </w:tc>
        <w:tc>
          <w:tcPr>
            <w:tcW w:w="40" w:type="dxa"/>
            <w:vAlign w:val="bottom"/>
          </w:tcPr>
          <w:p>
            <w:pPr>
              <w:spacing w:after="0"/>
              <w:rPr>
                <w:sz w:val="24"/>
                <w:szCs w:val="24"/>
                <w:color w:val="auto"/>
              </w:rPr>
            </w:pPr>
          </w:p>
        </w:tc>
        <w:tc>
          <w:tcPr>
            <w:tcW w:w="54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 Michael Carruthers</w:t>
            </w:r>
          </w:p>
        </w:tc>
        <w:tc>
          <w:tcPr>
            <w:tcW w:w="4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1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Grey</w:t>
            </w:r>
          </w:p>
        </w:tc>
        <w:tc>
          <w:tcPr>
            <w:tcW w:w="40" w:type="dxa"/>
            <w:vAlign w:val="bottom"/>
          </w:tcPr>
          <w:p>
            <w:pPr>
              <w:spacing w:after="0"/>
              <w:rPr>
                <w:sz w:val="24"/>
                <w:szCs w:val="24"/>
                <w:color w:val="auto"/>
              </w:rPr>
            </w:pPr>
          </w:p>
        </w:tc>
        <w:tc>
          <w:tcPr>
            <w:tcW w:w="54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Michael Grey</w:t>
            </w:r>
          </w:p>
        </w:tc>
        <w:tc>
          <w:tcPr>
            <w:tcW w:w="4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1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Valerie M. Jansen</w:t>
            </w:r>
          </w:p>
        </w:tc>
        <w:tc>
          <w:tcPr>
            <w:tcW w:w="40" w:type="dxa"/>
            <w:vAlign w:val="bottom"/>
          </w:tcPr>
          <w:p>
            <w:pPr>
              <w:spacing w:after="0"/>
              <w:rPr>
                <w:sz w:val="24"/>
                <w:szCs w:val="24"/>
                <w:color w:val="auto"/>
              </w:rPr>
            </w:pPr>
          </w:p>
        </w:tc>
        <w:tc>
          <w:tcPr>
            <w:tcW w:w="54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Valerie M. Jansen</w:t>
            </w:r>
          </w:p>
        </w:tc>
        <w:tc>
          <w:tcPr>
            <w:tcW w:w="4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1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Isaac Manke</w:t>
            </w:r>
          </w:p>
        </w:tc>
        <w:tc>
          <w:tcPr>
            <w:tcW w:w="40" w:type="dxa"/>
            <w:vAlign w:val="bottom"/>
          </w:tcPr>
          <w:p>
            <w:pPr>
              <w:spacing w:after="0"/>
              <w:rPr>
                <w:sz w:val="24"/>
                <w:szCs w:val="24"/>
                <w:color w:val="auto"/>
              </w:rPr>
            </w:pPr>
          </w:p>
        </w:tc>
        <w:tc>
          <w:tcPr>
            <w:tcW w:w="54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Isaac Manke</w:t>
            </w:r>
          </w:p>
        </w:tc>
        <w:tc>
          <w:tcPr>
            <w:tcW w:w="4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630"/>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T. Mathers</w:t>
            </w:r>
          </w:p>
        </w:tc>
        <w:tc>
          <w:tcPr>
            <w:tcW w:w="40" w:type="dxa"/>
            <w:vAlign w:val="bottom"/>
            <w:tcBorders>
              <w:bottom w:val="single" w:sz="8" w:color="auto"/>
            </w:tcBorders>
          </w:tcPr>
          <w:p>
            <w:pPr>
              <w:spacing w:after="0"/>
              <w:rPr>
                <w:sz w:val="24"/>
                <w:szCs w:val="24"/>
                <w:color w:val="auto"/>
              </w:rPr>
            </w:pPr>
          </w:p>
        </w:tc>
        <w:tc>
          <w:tcPr>
            <w:tcW w:w="54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Edward T. Mathers</w:t>
            </w:r>
          </w:p>
        </w:tc>
        <w:tc>
          <w:tcPr>
            <w:tcW w:w="4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27"/>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Phillips</w:t>
            </w:r>
          </w:p>
        </w:tc>
        <w:tc>
          <w:tcPr>
            <w:tcW w:w="40" w:type="dxa"/>
            <w:vAlign w:val="bottom"/>
            <w:tcBorders>
              <w:bottom w:val="single" w:sz="8" w:color="auto"/>
            </w:tcBorders>
          </w:tcPr>
          <w:p>
            <w:pPr>
              <w:spacing w:after="0"/>
              <w:rPr>
                <w:sz w:val="24"/>
                <w:szCs w:val="24"/>
                <w:color w:val="auto"/>
              </w:rPr>
            </w:pPr>
          </w:p>
        </w:tc>
        <w:tc>
          <w:tcPr>
            <w:tcW w:w="54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Chairman</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Andrew Phillips</w:t>
            </w:r>
          </w:p>
        </w:tc>
        <w:tc>
          <w:tcPr>
            <w:tcW w:w="4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27"/>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Liam Ratcliffe</w:t>
            </w:r>
          </w:p>
        </w:tc>
        <w:tc>
          <w:tcPr>
            <w:tcW w:w="40" w:type="dxa"/>
            <w:vAlign w:val="bottom"/>
            <w:tcBorders>
              <w:bottom w:val="single" w:sz="8" w:color="auto"/>
            </w:tcBorders>
          </w:tcPr>
          <w:p>
            <w:pPr>
              <w:spacing w:after="0"/>
              <w:rPr>
                <w:sz w:val="24"/>
                <w:szCs w:val="24"/>
                <w:color w:val="auto"/>
              </w:rPr>
            </w:pPr>
          </w:p>
        </w:tc>
        <w:tc>
          <w:tcPr>
            <w:tcW w:w="54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Liam Ratcliffe</w:t>
            </w:r>
          </w:p>
        </w:tc>
        <w:tc>
          <w:tcPr>
            <w:tcW w:w="4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1339"/>
        </w:trPr>
        <w:tc>
          <w:tcPr>
            <w:tcW w:w="2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1344930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ONKURE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w:t>
      </w:r>
    </w:p>
    <w:p>
      <w:pPr>
        <w:spacing w:after="0" w:line="2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Unless otherwise defined herein, each capitalized term used in this Restricted Stock Unit Agreement, which includes the Notice of Restricted Stock Unit Grant (the “</w:t>
      </w:r>
      <w:r>
        <w:rPr>
          <w:rFonts w:ascii="Times New Roman" w:cs="Times New Roman" w:eastAsia="Times New Roman" w:hAnsi="Times New Roman"/>
          <w:sz w:val="21"/>
          <w:szCs w:val="21"/>
          <w:b w:val="1"/>
          <w:bCs w:val="1"/>
          <w:color w:val="auto"/>
        </w:rPr>
        <w:t>Notice of Grant</w:t>
      </w:r>
      <w:r>
        <w:rPr>
          <w:rFonts w:ascii="Times New Roman" w:cs="Times New Roman" w:eastAsia="Times New Roman" w:hAnsi="Times New Roman"/>
          <w:sz w:val="21"/>
          <w:szCs w:val="21"/>
          <w:color w:val="auto"/>
        </w:rPr>
        <w:t xml:space="preserve">”), the Terms and Conditions of Restricted Stock Unit Grant, attached hereto as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and all other exhibits, appendices, and addenda attached hereto (the “</w:t>
      </w:r>
      <w:r>
        <w:rPr>
          <w:rFonts w:ascii="Times New Roman" w:cs="Times New Roman" w:eastAsia="Times New Roman" w:hAnsi="Times New Roman"/>
          <w:sz w:val="21"/>
          <w:szCs w:val="21"/>
          <w:b w:val="1"/>
          <w:bCs w:val="1"/>
          <w:color w:val="auto"/>
        </w:rPr>
        <w:t>Award Agreement</w:t>
      </w:r>
      <w:r>
        <w:rPr>
          <w:rFonts w:ascii="Times New Roman" w:cs="Times New Roman" w:eastAsia="Times New Roman" w:hAnsi="Times New Roman"/>
          <w:sz w:val="21"/>
          <w:szCs w:val="21"/>
          <w:color w:val="auto"/>
        </w:rPr>
        <w:t>”), will have the meaning given such term in the OnKure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2024 Equity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b w:val="1"/>
          <w:bCs w:val="1"/>
          <w:color w:val="auto"/>
        </w:rPr>
        <w:t>Participant Name:</w:t>
      </w:r>
      <w:r>
        <w:rPr>
          <w:sz w:val="20"/>
          <w:szCs w:val="20"/>
          <w:color w:val="auto"/>
        </w:rPr>
        <w:tab/>
      </w:r>
      <w:r>
        <w:rPr>
          <w:rFonts w:ascii="Times New Roman" w:cs="Times New Roman" w:eastAsia="Times New Roman" w:hAnsi="Times New Roman"/>
          <w:sz w:val="21"/>
          <w:szCs w:val="21"/>
          <w:b w:val="1"/>
          <w:bCs w:val="1"/>
          <w:color w:val="auto"/>
        </w:rPr>
        <w:t>[Name]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Address: [Address]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an Award of Restricted Stock Units, subject to the terms and conditions of the Plan and this Award Agreement, as follows:</w:t>
      </w:r>
    </w:p>
    <w:p>
      <w:pPr>
        <w:sectPr>
          <w:pgSz w:w="11900" w:h="16838" w:orient="portrait"/>
          <w:cols w:equalWidth="0" w:num="1">
            <w:col w:w="11240"/>
          </w:cols>
          <w:pgMar w:left="320" w:top="972" w:right="339" w:bottom="1440" w:gutter="0" w:footer="0" w:header="0"/>
        </w:sectPr>
      </w:pP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Grant Number: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200" w:lineRule="exact"/>
        <w:rPr>
          <w:sz w:val="20"/>
          <w:szCs w:val="20"/>
          <w:color w:val="auto"/>
        </w:rPr>
      </w:pPr>
    </w:p>
    <w:p>
      <w:pPr>
        <w:sectPr>
          <w:pgSz w:w="11900" w:h="16838" w:orient="portrait"/>
          <w:cols w:equalWidth="0" w:num="2">
            <w:col w:w="2080" w:space="400"/>
            <w:col w:w="8760"/>
          </w:cols>
          <w:pgMar w:left="320" w:top="972" w:right="339" w:bottom="1440" w:gutter="0" w:footer="0" w:header="0"/>
          <w:type w:val="continuous"/>
        </w:sectPr>
      </w:pP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Date of Grant: ______________________________</w:t>
      </w:r>
    </w:p>
    <w:p>
      <w:pPr>
        <w:sectPr>
          <w:pgSz w:w="11900" w:h="16838" w:orient="portrait"/>
          <w:cols w:equalWidth="0" w:num="1">
            <w:col w:w="11240"/>
          </w:cols>
          <w:pgMar w:left="320" w:top="972" w:right="339" w:bottom="1440" w:gutter="0" w:footer="0" w:header="0"/>
          <w:type w:val="continuous"/>
        </w:sectPr>
      </w:pP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Vesting Commencement Date: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200" w:lineRule="exact"/>
        <w:rPr>
          <w:sz w:val="20"/>
          <w:szCs w:val="20"/>
          <w:color w:val="auto"/>
        </w:rPr>
      </w:pPr>
    </w:p>
    <w:p>
      <w:pPr>
        <w:sectPr>
          <w:pgSz w:w="11900" w:h="16838" w:orient="portrait"/>
          <w:cols w:equalWidth="0" w:num="2">
            <w:col w:w="3420" w:space="360"/>
            <w:col w:w="7460"/>
          </w:cols>
          <w:pgMar w:left="320" w:top="972" w:right="339" w:bottom="1440" w:gutter="0" w:footer="0" w:header="0"/>
          <w:type w:val="continuous"/>
        </w:sectPr>
      </w:pP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Total 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200" w:lineRule="exact"/>
        <w:rPr>
          <w:sz w:val="20"/>
          <w:szCs w:val="20"/>
          <w:color w:val="auto"/>
        </w:rPr>
      </w:pPr>
    </w:p>
    <w:p>
      <w:pPr>
        <w:sectPr>
          <w:pgSz w:w="11900" w:h="16838" w:orient="portrait"/>
          <w:cols w:equalWidth="0" w:num="2">
            <w:col w:w="4260" w:space="380"/>
            <w:col w:w="6600"/>
          </w:cols>
          <w:pgMar w:left="320" w:top="972" w:right="339" w:bottom="1440" w:gutter="0" w:footer="0" w:header="0"/>
          <w:type w:val="continuous"/>
        </w:sectPr>
      </w:pP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[For purposes of this Award Agreement, “</w:t>
      </w:r>
      <w:r>
        <w:rPr>
          <w:rFonts w:ascii="Times New Roman" w:cs="Times New Roman" w:eastAsia="Times New Roman" w:hAnsi="Times New Roman"/>
          <w:sz w:val="22"/>
          <w:szCs w:val="22"/>
          <w:b w:val="1"/>
          <w:bCs w:val="1"/>
          <w:color w:val="auto"/>
        </w:rPr>
        <w:t>Quarterly Vesting Dates</w:t>
      </w:r>
      <w:r>
        <w:rPr>
          <w:rFonts w:ascii="Times New Roman" w:cs="Times New Roman" w:eastAsia="Times New Roman" w:hAnsi="Times New Roman"/>
          <w:sz w:val="22"/>
          <w:szCs w:val="22"/>
          <w:color w:val="auto"/>
        </w:rPr>
        <w:t>” with respect to any calendar year means March 20, June 20, September 20, and December 20.]</w:t>
      </w:r>
    </w:p>
    <w:p>
      <w:pPr>
        <w:spacing w:after="0" w:line="15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this Award Agreement or any other written agreement authorized by the Administrator between Participant and the Company (or any Parent or Subsidiary of the Company, as applicable) governing the terms of this Award, the Restricted Stock Units will be scheduled to vest according to the following vesting schedule:</w:t>
      </w:r>
    </w:p>
    <w:p>
      <w:pPr>
        <w:spacing w:after="0" w:line="6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Vesting Schedule</w:t>
      </w:r>
      <w:r>
        <w:rPr>
          <w:rFonts w:ascii="Times New Roman" w:cs="Times New Roman" w:eastAsia="Times New Roman" w:hAnsi="Times New Roman"/>
          <w:sz w:val="22"/>
          <w:szCs w:val="22"/>
          <w:color w:val="auto"/>
        </w:rPr>
        <w:t>], in each case subject to Participant continuing to be a Service Provider through the applicable vesting date.]</w:t>
      </w:r>
    </w:p>
    <w:p>
      <w:pPr>
        <w:spacing w:after="0" w:line="11" w:lineRule="exact"/>
        <w:rPr>
          <w:sz w:val="20"/>
          <w:szCs w:val="20"/>
          <w:color w:val="auto"/>
        </w:rPr>
      </w:pPr>
    </w:p>
    <w:p>
      <w:pPr>
        <w:jc w:val="both"/>
        <w:ind w:firstLine="749"/>
        <w:spacing w:after="0" w:line="264"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Standard Vesting Schedule</w:t>
      </w:r>
      <w:r>
        <w:rPr>
          <w:rFonts w:ascii="Times New Roman" w:cs="Times New Roman" w:eastAsia="Times New Roman" w:hAnsi="Times New Roman"/>
          <w:sz w:val="22"/>
          <w:szCs w:val="22"/>
          <w:color w:val="auto"/>
        </w:rPr>
        <w:t>: 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fourth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Total Number of Restricted Stock Units (as set forth above) subject to this Award Agreement will be scheduled to vest on the first Quarterly Vesting Date on or immediately following the one (1) year anniversary of the Vesting Commencement Date (such first vesting date, the “</w:t>
      </w:r>
      <w:r>
        <w:rPr>
          <w:rFonts w:ascii="Times New Roman" w:cs="Times New Roman" w:eastAsia="Times New Roman" w:hAnsi="Times New Roman"/>
          <w:sz w:val="22"/>
          <w:szCs w:val="22"/>
          <w:b w:val="1"/>
          <w:bCs w:val="1"/>
          <w:color w:val="auto"/>
        </w:rPr>
        <w:t>First Vesting Date</w:t>
      </w:r>
      <w:r>
        <w:rPr>
          <w:rFonts w:ascii="Times New Roman" w:cs="Times New Roman" w:eastAsia="Times New Roman" w:hAnsi="Times New Roman"/>
          <w:sz w:val="22"/>
          <w:szCs w:val="22"/>
          <w:color w:val="auto"/>
        </w:rPr>
        <w:t>”), and thereafter, 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sixteenth (1/16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Total Number of Restricted Stock Units subject to this Award Agreement will be scheduled to vest on each of the next twelve (12) consecutive Quarterly Vesting</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4872-5495-9565.6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6" w:name="page7"/>
    <w:bookmarkEnd w:id="6"/>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Dates that occur after the First Vesting Date, in each case subject to Participant continuing to be a Service Provider through the applicable vesting date.]</w:t>
      </w:r>
    </w:p>
    <w:p>
      <w:pPr>
        <w:spacing w:after="0" w:line="5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By Participant’s signature and the signature of the representative of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and all other exhibits, appendices and addenda attached hereto, all of which are made a part of this document. Participant acknowledges receipt of a copy of the Plan and represents that Participant is familiar with the terms and provisions thereof, and hereby accepts this Award Agreement subject to all of the terms and provisions thereof.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 and to provide a valid email address if Participant no longer has a Company email address.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ONKURE THERAPEUTICS, INC.</w:t>
      </w:r>
    </w:p>
    <w:p>
      <w:pPr>
        <w:spacing w:after="0" w:line="200" w:lineRule="exact"/>
        <w:rPr>
          <w:sz w:val="20"/>
          <w:szCs w:val="20"/>
          <w:color w:val="auto"/>
        </w:rPr>
      </w:pPr>
    </w:p>
    <w:p>
      <w:pPr>
        <w:sectPr>
          <w:pgSz w:w="11900" w:h="16838" w:orient="portrait"/>
          <w:cols w:equalWidth="0" w:num="2">
            <w:col w:w="1440" w:space="720"/>
            <w:col w:w="9080"/>
          </w:cols>
          <w:pgMar w:left="320" w:top="1440"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w:t>
      </w:r>
    </w:p>
    <w:p>
      <w:pPr>
        <w:spacing w:after="0" w:line="42" w:lineRule="exact"/>
        <w:rPr>
          <w:sz w:val="20"/>
          <w:szCs w:val="20"/>
          <w:color w:val="auto"/>
        </w:rPr>
      </w:pPr>
    </w:p>
    <w:p>
      <w:pPr>
        <w:sectPr>
          <w:pgSz w:w="11900" w:h="16838" w:orient="portrait"/>
          <w:cols w:equalWidth="0" w:num="2">
            <w:col w:w="3900" w:space="420"/>
            <w:col w:w="692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ectPr>
          <w:pgSz w:w="11900" w:h="16838" w:orient="portrait"/>
          <w:cols w:equalWidth="0" w:num="2">
            <w:col w:w="700" w:space="380"/>
            <w:col w:w="10160"/>
          </w:cols>
          <w:pgMar w:left="320" w:top="1440"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w:t>
      </w:r>
    </w:p>
    <w:p>
      <w:pPr>
        <w:spacing w:after="0" w:line="42" w:lineRule="exact"/>
        <w:rPr>
          <w:sz w:val="20"/>
          <w:szCs w:val="20"/>
          <w:color w:val="auto"/>
        </w:rPr>
      </w:pPr>
    </w:p>
    <w:p>
      <w:pPr>
        <w:sectPr>
          <w:pgSz w:w="11900" w:h="16838" w:orient="portrait"/>
          <w:cols w:equalWidth="0" w:num="2">
            <w:col w:w="3900" w:space="420"/>
            <w:col w:w="692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ectPr>
          <w:pgSz w:w="11900" w:h="16838" w:orient="portrait"/>
          <w:cols w:equalWidth="0" w:num="2">
            <w:col w:w="840" w:space="600"/>
            <w:col w:w="9800"/>
          </w:cols>
          <w:pgMar w:left="320" w:top="1440" w:right="339" w:bottom="1440" w:gutter="0" w:footer="0" w:header="0"/>
          <w:type w:val="continuous"/>
        </w:sectPr>
      </w:pPr>
    </w:p>
    <w:p>
      <w:pPr>
        <w:spacing w:after="0" w:line="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Residence Address: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ONKURE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RESTRICTED STOCK UNIT GRANT</w:t>
      </w:r>
    </w:p>
    <w:p>
      <w:pPr>
        <w:spacing w:after="0" w:line="206" w:lineRule="exact"/>
        <w:rPr>
          <w:sz w:val="20"/>
          <w:szCs w:val="20"/>
          <w:color w:val="auto"/>
        </w:rPr>
      </w:pPr>
    </w:p>
    <w:p>
      <w:pPr>
        <w:jc w:val="both"/>
        <w:ind w:firstLine="757"/>
        <w:spacing w:after="0" w:line="238" w:lineRule="auto"/>
        <w:tabs>
          <w:tab w:leader="none" w:pos="10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 of Restricted Stock Units</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named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of Restricted Stock Unit Grant of this Award Agreement (the “</w:t>
      </w:r>
      <w:r>
        <w:rPr>
          <w:rFonts w:ascii="Times New Roman" w:cs="Times New Roman" w:eastAsia="Times New Roman" w:hAnsi="Times New Roman"/>
          <w:sz w:val="22"/>
          <w:szCs w:val="22"/>
          <w:b w:val="1"/>
          <w:bCs w:val="1"/>
          <w:color w:val="auto"/>
        </w:rPr>
        <w:t>Notice of Grant</w:t>
      </w:r>
      <w:r>
        <w:rPr>
          <w:rFonts w:ascii="Times New Roman" w:cs="Times New Roman" w:eastAsia="Times New Roman" w:hAnsi="Times New Roman"/>
          <w:sz w:val="22"/>
          <w:szCs w:val="22"/>
          <w:color w:val="auto"/>
        </w:rPr>
        <w:t>”) under the Plan an Award of Restricted Stock Units,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Obligation to Pay</w:t>
      </w:r>
      <w:r>
        <w:rPr>
          <w:rFonts w:ascii="Times New Roman" w:cs="Times New Roman" w:eastAsia="Times New Roman" w:hAnsi="Times New Roman"/>
          <w:sz w:val="22"/>
          <w:szCs w:val="22"/>
          <w:color w:val="auto"/>
        </w:rPr>
        <w:t>. Each Restricted Stock Unit represents the right to receive a Share on the date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6"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 Except as provided in Section 4, and subject to Section 5, the Restricted Stock Units awarded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75"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 after 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 Rule</w:t>
      </w:r>
      <w:r>
        <w:rPr>
          <w:rFonts w:ascii="Times New Roman" w:cs="Times New Roman" w:eastAsia="Times New Roman" w:hAnsi="Times New Roman"/>
          <w:sz w:val="22"/>
          <w:szCs w:val="22"/>
          <w:color w:val="auto"/>
        </w:rPr>
        <w:t>. Subject to Section 7, any Restricted Stock Units that vest will be paid to Participant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event of Participant’s death, to Participant’s properly designated beneficiary or estate) in whole Shares no later than the applicable Settlement Deadline Date. Subject to the provisions of Section 4(c), “</w:t>
      </w:r>
      <w:r>
        <w:rPr>
          <w:rFonts w:ascii="Times New Roman" w:cs="Times New Roman" w:eastAsia="Times New Roman" w:hAnsi="Times New Roman"/>
          <w:sz w:val="22"/>
          <w:szCs w:val="22"/>
          <w:b w:val="1"/>
          <w:bCs w:val="1"/>
          <w:color w:val="auto"/>
        </w:rPr>
        <w:t>Settlement Deadline Date</w:t>
      </w:r>
      <w:r>
        <w:rPr>
          <w:rFonts w:ascii="Times New Roman" w:cs="Times New Roman" w:eastAsia="Times New Roman" w:hAnsi="Times New Roman"/>
          <w:sz w:val="22"/>
          <w:szCs w:val="22"/>
          <w:color w:val="auto"/>
        </w:rPr>
        <w:t>” with respect to a particular vested Restricted Stock Unit means within sixty (60) days following the vesting date of such particular Restricted Stock Unit (or, if earlier, March 15 of the calendar year following the calendar year in which occurs the first date on which the applicable Restricted Stock Unit is no longer subject to a substantial risk of forfeiture for purposes of Section 409A (as defined in the Plan)). Except as may be required by the provisions of Section 4(c), no Restricted Stock Unit will be settled after the Settlement Deadline Date applicable to it. Subject to the provisions of Section 4(c), if any Restricted Stock Unit has not met all the requirements for settlement under this Award Agreement in a manner that would allow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to be settled by the applicable Settlement Deadline Date, such Restricted Stock Unit will be forfeited as of immediately following the applicable Settlement Deadline Date. In no event will Participant be permitted, directly or indirectly, to specify the taxable year of payment of any Restricted Stock Units payable under this Award Agreement. For the avoidance of doubt, there may be multiple Settlement Deadline Dates, each corresponding to a particular Restricted Stock Unit.</w:t>
      </w:r>
    </w:p>
    <w:p>
      <w:pPr>
        <w:spacing w:after="0" w:line="176" w:lineRule="exact"/>
        <w:rPr>
          <w:sz w:val="20"/>
          <w:szCs w:val="20"/>
          <w:color w:val="auto"/>
        </w:rPr>
      </w:pPr>
    </w:p>
    <w:p>
      <w:pPr>
        <w:jc w:val="both"/>
        <w:ind w:firstLine="1505"/>
        <w:spacing w:after="0" w:line="263" w:lineRule="auto"/>
        <w:tabs>
          <w:tab w:leader="none" w:pos="2036"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Administrator Discretion</w:t>
      </w:r>
      <w:r>
        <w:rPr>
          <w:rFonts w:ascii="Times New Roman" w:cs="Times New Roman" w:eastAsia="Times New Roman" w:hAnsi="Times New Roman"/>
          <w:sz w:val="21"/>
          <w:szCs w:val="21"/>
          <w:color w:val="auto"/>
        </w:rPr>
        <w:t>. The Administrator, in its discretion, may accelerate the vesting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51"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is a U.S. taxpayer, the payment of Shares vesting pursuant to this Award Agreement (including any discretionary acceleration under Section 4(b)) shall in all cases be paid at a time or in a manner that is intended to be exempt from, or complies with, Section 409A. The prior sentence may be superseded in a future agreement or amendment to this Award Agreement only by direct and specific reference to such sentence.</w:t>
      </w:r>
    </w:p>
    <w:p>
      <w:pPr>
        <w:spacing w:after="0" w:line="180" w:lineRule="exact"/>
        <w:rPr>
          <w:rFonts w:ascii="Times New Roman" w:cs="Times New Roman" w:eastAsia="Times New Roman" w:hAnsi="Times New Roman"/>
          <w:sz w:val="22"/>
          <w:szCs w:val="22"/>
          <w:color w:val="auto"/>
        </w:rPr>
      </w:pPr>
    </w:p>
    <w:p>
      <w:pPr>
        <w:jc w:val="both"/>
        <w:ind w:firstLine="2254"/>
        <w:spacing w:after="0" w:line="243" w:lineRule="auto"/>
        <w:tabs>
          <w:tab w:leader="none" w:pos="2546" w:val="left"/>
        </w:tabs>
        <w:numPr>
          <w:ilvl w:val="2"/>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intent is that this Restricted Stock Unit Award be exempt or excepted from the requirements of Section 409A. However, in an abundance of caution, the Company is including in this subsection, certain Section 409A rules that only apply if the Restricted Stock Units are not exempt or excepted, and then only in certain circumstances. Specifically, Section 409A contains rules that must apply to the Restricted Stock Units if (A) they are not exempt or excepted from Section 409A, (B) the Company has any stock that is publicly traded on an established securities market or otherwise at the time Participant’s service terminates, (C) Participant receives acceleration of vesting of the Restricted Stock Units in connection with a termination of service, and (D) at the time of such termination, Participant is considered a “specified employee” under the Section 409A rules. Should these rules ever become applicable to Participant’s Restricted Stock Units, then notwithstanding anything in the Plan,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 Section 409A, as determined by the Administrator), other than due to Participant’s death, and if</w:t>
      </w:r>
    </w:p>
    <w:p>
      <w:pPr>
        <w:spacing w:after="0" w:line="5" w:lineRule="exact"/>
        <w:rPr>
          <w:rFonts w:ascii="Times New Roman" w:cs="Times New Roman" w:eastAsia="Times New Roman" w:hAnsi="Times New Roman"/>
          <w:sz w:val="21"/>
          <w:szCs w:val="21"/>
          <w:color w:val="auto"/>
        </w:rPr>
      </w:pPr>
    </w:p>
    <w:p>
      <w:pPr>
        <w:jc w:val="both"/>
        <w:ind w:firstLine="8"/>
        <w:spacing w:after="0" w:line="232" w:lineRule="auto"/>
        <w:tabs>
          <w:tab w:leader="none" w:pos="31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Participant’s termination as a Service Provider, in which case, the Restricted Stock Units will be paid in Shares to Participant’s estate as soon as practicable following Participant’s death.</w:t>
      </w:r>
    </w:p>
    <w:p>
      <w:pPr>
        <w:spacing w:after="0" w:line="181" w:lineRule="exact"/>
        <w:rPr>
          <w:sz w:val="20"/>
          <w:szCs w:val="20"/>
          <w:color w:val="auto"/>
        </w:rPr>
      </w:pPr>
    </w:p>
    <w:p>
      <w:pPr>
        <w:jc w:val="both"/>
        <w:ind w:right="20" w:firstLine="2246"/>
        <w:spacing w:after="0" w:line="244" w:lineRule="auto"/>
        <w:rPr>
          <w:sz w:val="20"/>
          <w:szCs w:val="20"/>
          <w:color w:val="auto"/>
        </w:rPr>
      </w:pPr>
      <w:r>
        <w:rPr>
          <w:rFonts w:ascii="Times New Roman" w:cs="Times New Roman" w:eastAsia="Times New Roman" w:hAnsi="Times New Roman"/>
          <w:sz w:val="22"/>
          <w:szCs w:val="22"/>
          <w:color w:val="auto"/>
        </w:rPr>
        <w:t>(iii)It is the intent of this Award Agreement that it and all payments and benefits to U.S. taxpayers hereunder be exempt from, or comply with, the requirements of Section 409A so that none of the Restricted Stock Units provided under this Award Agreement or Shares</w:t>
      </w:r>
    </w:p>
    <w:p>
      <w:pPr>
        <w:spacing w:after="0" w:line="3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any Service Recipient (as defined below)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74" w:lineRule="exact"/>
        <w:rPr>
          <w:sz w:val="20"/>
          <w:szCs w:val="20"/>
          <w:color w:val="auto"/>
        </w:rPr>
      </w:pPr>
    </w:p>
    <w:p>
      <w:pPr>
        <w:jc w:val="both"/>
        <w:ind w:firstLine="757"/>
        <w:spacing w:after="0" w:line="237" w:lineRule="auto"/>
        <w:tabs>
          <w:tab w:leader="none" w:pos="10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Forfeiture Upon Termination as a Service Provider</w:t>
      </w:r>
      <w:r>
        <w:rPr>
          <w:rFonts w:ascii="Times New Roman" w:cs="Times New Roman" w:eastAsia="Times New Roman" w:hAnsi="Times New Roman"/>
          <w:sz w:val="22"/>
          <w:szCs w:val="22"/>
          <w:color w:val="auto"/>
        </w:rPr>
        <w:t>. Unless specifically provided otherwise in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other written agreement authorized by the Administrator between Participant and the Company or any of its Subsidiaries or Parents, as applicable, governing the terms of this Award, if Participant ceases to be a Service Provider for any reason, the then-unvested Restricted Stock Units awarded by this Award Agreement will thereupon be forfeited at no cost to the Company upon the date of such cessation and Participant will have no further rights to such Restricted Stock Units or the Shares thereunder.</w:t>
      </w:r>
    </w:p>
    <w:p>
      <w:pPr>
        <w:spacing w:after="0" w:line="175"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is then deceased, will be made to Participant’s designated beneficiary, or if no beneficiary survives Participant, the administrator or executor of Participant’s estate. Any such transferee must furnish the Company with (a) written notice of such transferee’s status as transferee, and (b) evidence satisfactory to the Company to establish the validity of the transfer and compliance with any laws or regulations pertaining to said transfer.</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Obligations</w:t>
      </w:r>
    </w:p>
    <w:p>
      <w:pPr>
        <w:spacing w:after="0" w:line="20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if different, Participant’s employer or any Parent or Subsidiary of the Company to which Participant is providing services (together, the “</w:t>
      </w:r>
      <w:r>
        <w:rPr>
          <w:rFonts w:ascii="Times New Roman" w:cs="Times New Roman" w:eastAsia="Times New Roman" w:hAnsi="Times New Roman"/>
          <w:sz w:val="22"/>
          <w:szCs w:val="22"/>
          <w:b w:val="1"/>
          <w:bCs w:val="1"/>
          <w:color w:val="auto"/>
        </w:rPr>
        <w:t>Service Recipients</w:t>
      </w:r>
      <w:r>
        <w:rPr>
          <w:rFonts w:ascii="Times New Roman" w:cs="Times New Roman" w:eastAsia="Times New Roman" w:hAnsi="Times New Roman"/>
          <w:sz w:val="22"/>
          <w:szCs w:val="22"/>
          <w:color w:val="auto"/>
        </w:rPr>
        <w:t>”), the ultimate liability for any tax and social insurance liability obligations and requirements in connection with the Restricted Stock Units, including, without limitation, (i) all federal, national, state, non-U.S. and local taxes (including Participant’s Federal Insurance Contributions Act (FICA) obligations and social liability insurance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the vesting or settlement thereof or issuance of Shares thereunder) (collectively, the “</w:t>
      </w:r>
      <w:r>
        <w:rPr>
          <w:rFonts w:ascii="Times New Roman" w:cs="Times New Roman" w:eastAsia="Times New Roman" w:hAnsi="Times New Roman"/>
          <w:sz w:val="22"/>
          <w:szCs w:val="22"/>
          <w:b w:val="1"/>
          <w:bCs w:val="1"/>
          <w:color w:val="auto"/>
        </w:rPr>
        <w:t>Tax Obligations</w:t>
      </w:r>
      <w:r>
        <w:rPr>
          <w:rFonts w:ascii="Times New Roman" w:cs="Times New Roman" w:eastAsia="Times New Roman" w:hAnsi="Times New Roman"/>
          <w:sz w:val="22"/>
          <w:szCs w:val="22"/>
          <w:color w:val="auto"/>
        </w:rPr>
        <w:t>”), are and remain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or (B) makes any commitment to and is under any</w:t>
      </w:r>
    </w:p>
    <w:p>
      <w:pPr>
        <w:spacing w:after="0" w:line="3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Withholding Obligations (as defined below) in more than one jurisdiction.</w:t>
      </w:r>
    </w:p>
    <w:p>
      <w:pPr>
        <w:spacing w:after="0" w:line="173" w:lineRule="exact"/>
        <w:rPr>
          <w:sz w:val="20"/>
          <w:szCs w:val="20"/>
          <w:color w:val="auto"/>
        </w:rPr>
      </w:pPr>
    </w:p>
    <w:p>
      <w:pPr>
        <w:jc w:val="both"/>
        <w:ind w:firstLine="1505"/>
        <w:spacing w:after="0" w:line="231" w:lineRule="auto"/>
        <w:tabs>
          <w:tab w:leader="none" w:pos="203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Pursuant to such procedures as the Administrator may specify from time to time,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Service Recipient(s) will withhold the amount required to be withheld for the payment of Tax Obligations (the “</w:t>
      </w:r>
      <w:r>
        <w:rPr>
          <w:rFonts w:ascii="Times New Roman" w:cs="Times New Roman" w:eastAsia="Times New Roman" w:hAnsi="Times New Roman"/>
          <w:sz w:val="22"/>
          <w:szCs w:val="22"/>
          <w:b w:val="1"/>
          <w:bCs w:val="1"/>
          <w:color w:val="auto"/>
        </w:rPr>
        <w:t>Withholding Obligations</w:t>
      </w:r>
      <w:r>
        <w:rPr>
          <w:rFonts w:ascii="Times New Roman" w:cs="Times New Roman" w:eastAsia="Times New Roman" w:hAnsi="Times New Roman"/>
          <w:sz w:val="22"/>
          <w:szCs w:val="22"/>
          <w:color w:val="auto"/>
        </w:rPr>
        <w:t>”) which, to the extent permitted under the Plan, may, in the discretion of the Administrator, be in excess of the minimum statutory required amount to be withheld, upon each date with respect to which the Administrator determines Withholding Obligations are due, including but not limited to, at grant, vesting, settlement or any other date with respect to which Withholding Obligations arise. The Administrator, in its sole discretion and pursuant to such procedures as it may specify from time to time, may permit or require Participant to satisfy such Withholding Obligations, in whole or in part (without limitation), if permissible by Applicable Laws, by one or a combination of the following: (i) paying cash, (ii) having the Company withhold otherwise deliverable Shares having a fair market value equal to the minimum amount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2"/>
          <w:szCs w:val="22"/>
          <w:b w:val="1"/>
          <w:bCs w:val="1"/>
          <w:color w:val="auto"/>
        </w:rPr>
        <w:t>Net Share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(iii) withholding the amount of such Withholding Obligations from Participant’s wages or other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paid to Participant by the applicable Service Recipient(s), (iv) delivering to the Company Shares that Participant owns and that already have vested with a fair market value equal to the Withholding Obligations (or such greater amount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necessary to meet the withholding requirement for such Withholding Obligations (or such greater amount as Participant may elect or the Company may require, if permitted by the Administrator and if such greater amount would not result in adverse financial accounting consequences) (“</w:t>
      </w:r>
      <w:r>
        <w:rPr>
          <w:rFonts w:ascii="Times New Roman" w:cs="Times New Roman" w:eastAsia="Times New Roman" w:hAnsi="Times New Roman"/>
          <w:sz w:val="22"/>
          <w:szCs w:val="22"/>
          <w:b w:val="1"/>
          <w:bCs w:val="1"/>
          <w:color w:val="auto"/>
        </w:rPr>
        <w:t>Sell to Cover</w:t>
      </w:r>
      <w:r>
        <w:rPr>
          <w:rFonts w:ascii="Times New Roman" w:cs="Times New Roman" w:eastAsia="Times New Roman" w:hAnsi="Times New Roman"/>
          <w:sz w:val="22"/>
          <w:szCs w:val="22"/>
          <w:color w:val="auto"/>
        </w:rPr>
        <w:t>”), or (vi) such other means as the Administrator deems appropriate. If the Withholding Obligations are satisfied by withholding in Shares, for tax purposes, Participant is deemed to have been issued the full number of Shares subject to the vested Restricted Stock Units,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 Until and unless determined otherwise by</w:t>
      </w:r>
    </w:p>
    <w:p>
      <w:pPr>
        <w:spacing w:after="0" w:line="3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Administrator, “Sell-to-Cover” will be the method by which such Withholding Obligations are satisfied.</w:t>
      </w:r>
    </w:p>
    <w:p>
      <w:pPr>
        <w:spacing w:after="0" w:line="202" w:lineRule="exact"/>
        <w:rPr>
          <w:sz w:val="20"/>
          <w:szCs w:val="20"/>
          <w:color w:val="auto"/>
        </w:rPr>
      </w:pPr>
    </w:p>
    <w:p>
      <w:pPr>
        <w:jc w:val="both"/>
        <w:ind w:firstLine="1505"/>
        <w:spacing w:after="0" w:line="237" w:lineRule="auto"/>
        <w:tabs>
          <w:tab w:leader="none" w:pos="203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Consequences</w:t>
      </w:r>
      <w:r>
        <w:rPr>
          <w:rFonts w:ascii="Times New Roman" w:cs="Times New Roman" w:eastAsia="Times New Roman" w:hAnsi="Times New Roman"/>
          <w:sz w:val="22"/>
          <w:szCs w:val="22"/>
          <w:color w:val="auto"/>
        </w:rPr>
        <w:t>. Participant has reviewed with Participant’s own tax advisers the U.S. federal,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75"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Obligation to Deliver Shares</w:t>
      </w:r>
      <w:r>
        <w:rPr>
          <w:rFonts w:ascii="Times New Roman" w:cs="Times New Roman" w:eastAsia="Times New Roman" w:hAnsi="Times New Roman"/>
          <w:sz w:val="22"/>
          <w:szCs w:val="22"/>
          <w:color w:val="auto"/>
        </w:rPr>
        <w:t>. For clarification purposes, in no event will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Restricted Stock Units otherwise are scheduled to vest pursuant to Sections 3 or 4 or Participant’s Withholding Obligations otherwise become due, Participant permanently will forfeit such Restricted Stock Units to which Participant’s Withholding Obligation relates and any right to receive Shares thereunder and such Restricted Stock Units will be returned to the Company at no cost to the Company. Participant acknowledges and agrees that the Company may permanently refuse to issue or deliver the Shares if such Withholding Obligations are not delivered at the time they are due.</w:t>
      </w:r>
    </w:p>
    <w:p>
      <w:pPr>
        <w:spacing w:after="0" w:line="173" w:lineRule="exact"/>
        <w:rPr>
          <w:rFonts w:ascii="Times New Roman" w:cs="Times New Roman" w:eastAsia="Times New Roman" w:hAnsi="Times New Roman"/>
          <w:sz w:val="22"/>
          <w:szCs w:val="22"/>
          <w:color w:val="auto"/>
        </w:rPr>
      </w:pPr>
    </w:p>
    <w:p>
      <w:pPr>
        <w:jc w:val="both"/>
        <w:ind w:firstLine="757"/>
        <w:spacing w:after="0" w:line="237" w:lineRule="auto"/>
        <w:tabs>
          <w:tab w:leader="none" w:pos="10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75"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Guarantee of Continued Service</w:t>
      </w:r>
      <w:r>
        <w:rPr>
          <w:rFonts w:ascii="Times New Roman" w:cs="Times New Roman" w:eastAsia="Times New Roman" w:hAnsi="Times New Roman"/>
          <w:sz w:val="22"/>
          <w:szCs w:val="22"/>
          <w:color w:val="auto"/>
        </w:rPr>
        <w:t>. PARTICIPANT ACKNOWLEDGES AND AGREES THAT THE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OTHERWISE UNDER APPLICABLE LAW, MAY BE AT ANY TIME, WITH OR WITHOUT CAUSE.</w:t>
      </w:r>
    </w:p>
    <w:p>
      <w:pPr>
        <w:spacing w:after="0" w:line="20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color w:val="auto"/>
        </w:rPr>
        <w:t>Grant is Not Transferable</w:t>
      </w:r>
      <w:r>
        <w:rPr>
          <w:rFonts w:ascii="Times New Roman" w:cs="Times New Roman" w:eastAsia="Times New Roman" w:hAnsi="Times New Roman"/>
          <w:sz w:val="22"/>
          <w:szCs w:val="22"/>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color w:val="auto"/>
        </w:rPr>
        <w:t>Nature of Grant</w:t>
      </w:r>
      <w:r>
        <w:rPr>
          <w:rFonts w:ascii="Times New Roman" w:cs="Times New Roman" w:eastAsia="Times New Roman" w:hAnsi="Times New Roman"/>
          <w:sz w:val="22"/>
          <w:szCs w:val="22"/>
          <w:color w:val="auto"/>
        </w:rPr>
        <w:t>. In accepting this Award of Restricted Stock Units, Participant acknowledges, understands and agrees that:</w:t>
      </w:r>
    </w:p>
    <w:p>
      <w:pPr>
        <w:spacing w:after="0" w:line="154" w:lineRule="exact"/>
        <w:rPr>
          <w:sz w:val="20"/>
          <w:szCs w:val="20"/>
          <w:color w:val="auto"/>
        </w:rPr>
      </w:pPr>
    </w:p>
    <w:p>
      <w:pPr>
        <w:jc w:val="both"/>
        <w:ind w:firstLine="1505"/>
        <w:spacing w:after="0" w:line="244" w:lineRule="auto"/>
        <w:tabs>
          <w:tab w:leader="none" w:pos="20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Administrator;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intended to replace any pension rights or compensation;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Restricted Stock Units is unknown, indeterminable, and cannot be predicted with certainty;</w:t>
      </w:r>
    </w:p>
    <w:p>
      <w:pPr>
        <w:spacing w:after="0" w:line="158"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Restricted Stock Units, Participant’s status as a Service Provider will be considered terminated as of the date Participant is no longer actively providing services to the Company or any Parent or Subsidiary of the Company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w:t>
      </w:r>
    </w:p>
    <w:p>
      <w:pPr>
        <w:spacing w:after="0" w:line="3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determine when Participant is no longer actively providing services for purposes of this Award of Restricted Stock Units (including whether Participant may still be considered to be providing services while on a leave of absence and consistent with local law); and</w:t>
      </w:r>
    </w:p>
    <w:p>
      <w:pPr>
        <w:spacing w:after="0" w:line="173" w:lineRule="exact"/>
        <w:rPr>
          <w:sz w:val="20"/>
          <w:szCs w:val="20"/>
          <w:color w:val="auto"/>
        </w:rPr>
      </w:pPr>
    </w:p>
    <w:p>
      <w:pPr>
        <w:jc w:val="both"/>
        <w:ind w:firstLine="1505"/>
        <w:spacing w:after="0" w:line="239" w:lineRule="auto"/>
        <w:tabs>
          <w:tab w:leader="none" w:pos="20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Participant’s own personal tax, legal and financial advisers regarding Participant’s participation in the Plan before taking any action related to the Plan.</w:t>
      </w:r>
    </w:p>
    <w:p>
      <w:pPr>
        <w:spacing w:after="0" w:line="172"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OnKure Therapeutics, Inc., 6706 Winchester Circle, Suite 400, Boulder, CO 80301, or at such other address as the Company may hereafter designate in writing.</w:t>
      </w:r>
    </w:p>
    <w:p>
      <w:pPr>
        <w:spacing w:after="0" w:line="16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color w:val="auto"/>
        </w:rPr>
        <w:t>Insider Trading Restrictions/Market Abuse Laws</w:t>
      </w:r>
      <w:r>
        <w:rPr>
          <w:rFonts w:ascii="Times New Roman" w:cs="Times New Roman" w:eastAsia="Times New Roman" w:hAnsi="Times New Roman"/>
          <w:sz w:val="22"/>
          <w:szCs w:val="22"/>
          <w:color w:val="auto"/>
        </w:rPr>
        <w:t>. In addition to all other restrictions set forth in the Plan or this Award Agreement, Participant is hereby notified that Participant may be subject to insider trading restrictions or market abuse laws, which may affect Participant’s ability to acquire or sell Shares or rights to Shares under the Plan during such time as Participant is considered to have “inside information” regarding the Company (as defined by Applicable Laws). Any restrictions under these laws or regulations are separate from and in addition to any restrictions that may be imposed under any applicable Company insider trading policy. Participants acknowledges and agrees that it is Participant’s responsibility to comply with any applicable restrictions and Participant is advised to speak to Participant’s personal advisor on this matter.</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Participant’s estate) hereunder, such issuance will not occur unless and until such listing, registration, qualification, rule compliance, clearance, consent</w:t>
      </w: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or approval will have been completed, effected or obtained free of any conditions not acceptable to the Company. If any such listing, registration, qualification, rule compliance, clearance, consent or approval has not been completed by the applicable Settlement Deadline Date (or, if later, the settlement date required under Section 4(c)(ii)) with respect to a Restricted Stock Unit in a manner that would allow it to be settled by the applicable Settlement Deadline Date (or, if later, the settlement date required under Section 4(c)(ii)), such Restricted Stock Unit shall be forfeited as of immediately following the Settlement Deadline (or, if later, the settlement date required under Section 4(c)(ii)) date.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 Unless the context requires otherwise and subject to the foregoing interpretation rights and powers of the Administrator in this Section 17, the term “or” as used in this Award Agreement is not exclusive.</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b w:val="1"/>
          <w:bCs w:val="1"/>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b w:val="1"/>
          <w:bCs w:val="1"/>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Participant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Award of Restricted Stock Units (as determined by the Administrator in its sole discretion) (the “</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xml:space="preserve"> ”). Moreover, if Participant relocates to one of the countries included in the Country Addendum (if any), the special terms and conditions for such country will apply to Participant, to the extent the Company determines that the application of such terms and conditions is</w:t>
      </w:r>
    </w:p>
    <w:p>
      <w:pPr>
        <w:spacing w:after="0" w:line="3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necessary or advisable for legal or administrative reasons. The Country Addendum (if any) constitutes a part of this Award Agreement.</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22.</w:t>
      </w:r>
      <w:r>
        <w:rPr>
          <w:rFonts w:ascii="Times New Roman" w:cs="Times New Roman" w:eastAsia="Times New Roman" w:hAnsi="Times New Roman"/>
          <w:sz w:val="21"/>
          <w:szCs w:val="21"/>
          <w:b w:val="1"/>
          <w:bCs w:val="1"/>
          <w:color w:val="auto"/>
        </w:rPr>
        <w:t>Modifications to the Award Agreement</w:t>
      </w:r>
      <w:r>
        <w:rPr>
          <w:rFonts w:ascii="Times New Roman" w:cs="Times New Roman" w:eastAsia="Times New Roman" w:hAnsi="Times New Roman"/>
          <w:sz w:val="21"/>
          <w:szCs w:val="21"/>
          <w:color w:val="auto"/>
        </w:rPr>
        <w:t>. This Award Agreement constitutes the entire understanding of the parties on the subjects covered. Participant expressly warrants that Participant is not accepting this Award Agreement in reliance on any promises, representations, or inducements other than those contained herein. Modifications to this Award Agreement can be made only by approval of the Administrator memorialized in an express written instrument executed by a duly authorized signatory of the Company. Except as provided in this paragraph, no amendment to this Award Agreement may materially impair the rights of Participant unless mutually agreed between Participant and the Administrator, which agreement must be in writing signed by Participant and a duly authorized signatory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7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b w:val="1"/>
          <w:bCs w:val="1"/>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b w:val="1"/>
          <w:bCs w:val="1"/>
          <w:color w:val="auto"/>
        </w:rPr>
        <w:t>Governing Law; Severability</w:t>
      </w:r>
      <w:r>
        <w:rPr>
          <w:rFonts w:ascii="Times New Roman" w:cs="Times New Roman" w:eastAsia="Times New Roman" w:hAnsi="Times New Roman"/>
          <w:sz w:val="22"/>
          <w:szCs w:val="22"/>
          <w:color w:val="auto"/>
        </w:rPr>
        <w:t>. This Award Agreement and the Restricted Stock Units are governed by, and construed in accordance with,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b w:val="1"/>
          <w:bCs w:val="1"/>
          <w:color w:val="auto"/>
        </w:rPr>
        <w:t>Binding Terms</w:t>
      </w:r>
      <w:r>
        <w:rPr>
          <w:rFonts w:ascii="Times New Roman" w:cs="Times New Roman" w:eastAsia="Times New Roman" w:hAnsi="Times New Roman"/>
          <w:sz w:val="22"/>
          <w:szCs w:val="22"/>
          <w:color w:val="auto"/>
        </w:rPr>
        <w:t>. The terms, conditions, obligations, and requirements of this Award Agreement will apply as a condition of receiving and holding the Award without the need for any manual or other execution of this Award Agreement by Participant or the Company. Notwithstanding the foregoing, however, as a condition to holding the Award or the vesting or settlement of the Award, upon the Company’s request at any time, the Company may require Participant to manually or electronically sign this Award Agreement, if Participant has not already done so.</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pacing w:after="0" w:line="181"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ONKURE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 TO RESTRICTED STOCK UNIT AGREEMENT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Restricted Stock Unit Agreement (this “</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will be ascribed the same defined meanings as set forth in the Restricted Stock Unit Agreement of which this Country Addendum forms a part (or the Plan or other written agreement as specified in the Restricted Stock Unit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the Award of Restricted Stock Units granted pursuant to the terms and conditions of the OnKure Therapeutics, Inc. 2024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and the Restricted Stock Unit Agreement to which this Country Addendum is attached (the “</w:t>
      </w:r>
      <w:r>
        <w:rPr>
          <w:rFonts w:ascii="Times New Roman" w:cs="Times New Roman" w:eastAsia="Times New Roman" w:hAnsi="Times New Roman"/>
          <w:sz w:val="22"/>
          <w:szCs w:val="22"/>
          <w:b w:val="1"/>
          <w:bCs w:val="1"/>
          <w:color w:val="auto"/>
        </w:rPr>
        <w:t>Restricted Stock Unit Agreement</w:t>
      </w:r>
      <w:r>
        <w:rPr>
          <w:rFonts w:ascii="Times New Roman" w:cs="Times New Roman" w:eastAsia="Times New Roman" w:hAnsi="Times New Roman"/>
          <w:sz w:val="22"/>
          <w:szCs w:val="22"/>
          <w:color w:val="auto"/>
        </w:rPr>
        <w:t>”) to the extent the individual to whom the Restricted Stock Units were granted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resides or works in one of the countries listed below. If Participant is a citizen or resident (or is considered as such for local law purposes) of a country other than the country in which Participant is currently residing or working, or if Participant relocates to another country after the Award of Restricted Stock Units is granted, the Company, in its discretion, will determine to what extent the terms and conditions contained herein will apply to Participant.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Country Addendum also may include information regarding exchange controls and certain other issues of which Participant should be aware with respect to Participant’s participation in the Plan. The information is based on the securities, exchange control and other Applicable Laws in effect in the respective countries as of [Date].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Participant’s situation.</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residing or working, transfers residence or employment to another country after the grant of the Restricted Stock Units, or is considered a resident of another country for local law purposes, the information in this Country Addendum may not apply to Participant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 w:name="page18"/>
    <w:bookmarkEnd w:id="17"/>
    <w:p>
      <w:pPr>
        <w:spacing w:after="0" w:line="181" w:lineRule="exact"/>
        <w:rPr>
          <w:sz w:val="20"/>
          <w:szCs w:val="20"/>
          <w:color w:val="auto"/>
        </w:rPr>
      </w:pPr>
    </w:p>
    <w:p>
      <w:pPr>
        <w:ind w:left="840" w:hanging="832"/>
        <w:spacing w:after="0" w:line="262" w:lineRule="auto"/>
        <w:tabs>
          <w:tab w:leader="none" w:pos="84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GLOBAL PROVISIONS APPLICABLE TO PARTICIPANTS IN ALL COUNTRIES OTHER THAN THE UNITED STATES</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34" w:lineRule="auto"/>
        <w:tabs>
          <w:tab w:leader="none" w:pos="1018"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Foreign Currency Exchange Considerations</w:t>
      </w:r>
      <w:r>
        <w:rPr>
          <w:rFonts w:ascii="Times New Roman" w:cs="Times New Roman" w:eastAsia="Times New Roman" w:hAnsi="Times New Roman"/>
          <w:sz w:val="22"/>
          <w:szCs w:val="22"/>
          <w:color w:val="auto"/>
        </w:rPr>
        <w:t>. Participant understands and agrees that neither the Company nor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Recipient shall be liable for any foreign currency exchange rate fluctuation between Participant’s local currency and the U.S. dollar that may affect the value of the Restricted Stock Units, or of any amounts due to Participant under the Plan or as a result of vesting of the Participant’s Restricted Stock Units or the subsequent sale of any Shares acquired under the Plan. Participant agrees and acknowledges that he or she will bear any and all risk associated with the exchange or fluctuation of currency associated with his or her participation in the Plan. Participant acknowledges and agrees that Participant may be responsible for reporting inbound transactions or fund transfers that exceed a certain amount. Participant is advised to seek appropriate professional advice as to how the exchange control regulations apply to his or her Restricted Stock Units and Participant’s specific situation and understands that the relevant laws and regulations can change frequently and occasionally on a retroactive basis.</w:t>
      </w:r>
    </w:p>
    <w:p>
      <w:pPr>
        <w:spacing w:after="0" w:line="179"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Nature of Grant</w:t>
      </w:r>
      <w:r>
        <w:rPr>
          <w:rFonts w:ascii="Times New Roman" w:cs="Times New Roman" w:eastAsia="Times New Roman" w:hAnsi="Times New Roman"/>
          <w:sz w:val="22"/>
          <w:szCs w:val="22"/>
          <w:color w:val="auto"/>
        </w:rPr>
        <w:t>. The following provisions supplement Section 11 of the Restricted Stock Unit Agreement:</w:t>
      </w:r>
    </w:p>
    <w:p>
      <w:pPr>
        <w:spacing w:after="0" w:line="21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2"/>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part of normal or expected compensation or salary for any purpose;</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2"/>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2"/>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Participant’s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7" w:lineRule="exact"/>
        <w:rPr>
          <w:rFonts w:ascii="Times New Roman" w:cs="Times New Roman" w:eastAsia="Times New Roman" w:hAnsi="Times New Roman"/>
          <w:sz w:val="22"/>
          <w:szCs w:val="22"/>
          <w:color w:val="auto"/>
        </w:rPr>
      </w:pPr>
    </w:p>
    <w:p>
      <w:pPr>
        <w:jc w:val="both"/>
        <w:ind w:firstLine="757"/>
        <w:spacing w:after="0" w:line="241" w:lineRule="auto"/>
        <w:tabs>
          <w:tab w:leader="none" w:pos="1018"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b w:val="1"/>
          <w:bCs w:val="1"/>
          <w:i w:val="1"/>
          <w:iCs w:val="1"/>
          <w:color w:val="auto"/>
        </w:rPr>
        <w:t>. Participant hereby acknowledges the collection, use and transfer, in electronic or other form,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3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7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7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Participant may request information about sharing, processing, and storage of Data and may exercise their rights with respect to the Data, which may include the right to terminate sharing, processing, and storage, by following instructions in the Company’s Personnel Privacy Notice or by contacting Participant’s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Participant’s participation in the Plan. Participant understands that Data will be held only as long as is necessary to implement, administer and manage Participant’s participation in the Plan.</w:t>
      </w:r>
    </w:p>
    <w:p>
      <w:pPr>
        <w:spacing w:after="0" w:line="184" w:lineRule="exact"/>
        <w:rPr>
          <w:sz w:val="20"/>
          <w:szCs w:val="20"/>
          <w:color w:val="auto"/>
        </w:rPr>
      </w:pPr>
    </w:p>
    <w:p>
      <w:pPr>
        <w:jc w:val="both"/>
        <w:ind w:firstLine="757"/>
        <w:spacing w:after="0" w:line="246" w:lineRule="auto"/>
        <w:tabs>
          <w:tab w:leader="none" w:pos="10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Language</w:t>
      </w:r>
      <w:r>
        <w:rPr>
          <w:rFonts w:ascii="Times New Roman" w:cs="Times New Roman" w:eastAsia="Times New Roman" w:hAnsi="Times New Roman"/>
          <w:sz w:val="22"/>
          <w:szCs w:val="22"/>
          <w:color w:val="auto"/>
        </w:rPr>
        <w:t>. If Participant has received the Restricted Stock Unit Agreement or any other document related to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translated into a language other than English and if the meaning of the translated version is different than the English version, the English version will control.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country-specific provisions.</w:t>
      </w:r>
      <w:r>
        <w:rPr>
          <w:rFonts w:ascii="Times New Roman" w:cs="Times New Roman" w:eastAsia="Times New Roman" w:hAnsi="Times New Roman"/>
          <w:sz w:val="22"/>
          <w:szCs w:val="22"/>
          <w:color w:val="auto"/>
        </w:rPr>
        <w:t>]</w:t>
      </w: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72"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59" w:lineRule="exact"/>
        <w:rPr>
          <w:sz w:val="20"/>
          <w:szCs w:val="20"/>
          <w:color w:val="auto"/>
        </w:rPr>
      </w:pPr>
    </w:p>
    <w:p>
      <w:pPr>
        <w:ind w:left="8140"/>
        <w:spacing w:after="0"/>
        <w:rPr>
          <w:sz w:val="20"/>
          <w:szCs w:val="20"/>
          <w:color w:val="auto"/>
        </w:rPr>
      </w:pPr>
      <w:r>
        <w:rPr>
          <w:rFonts w:ascii="Georgia" w:cs="Georgia" w:eastAsia="Georgia" w:hAnsi="Georgia"/>
          <w:sz w:val="14"/>
          <w:szCs w:val="14"/>
          <w:color w:val="003D4C"/>
        </w:rPr>
        <w:t>Wilson Sonsini Goodrich &amp; Rosati</w:t>
      </w:r>
    </w:p>
    <w:p>
      <w:pPr>
        <w:spacing w:after="0" w:line="3" w:lineRule="exact"/>
        <w:rPr>
          <w:sz w:val="20"/>
          <w:szCs w:val="20"/>
          <w:color w:val="auto"/>
        </w:rPr>
      </w:pPr>
    </w:p>
    <w:p>
      <w:pPr>
        <w:ind w:left="8140"/>
        <w:spacing w:after="0"/>
        <w:rPr>
          <w:sz w:val="20"/>
          <w:szCs w:val="20"/>
          <w:color w:val="auto"/>
        </w:rPr>
      </w:pPr>
      <w:r>
        <w:rPr>
          <w:rFonts w:ascii="Georgia" w:cs="Georgia" w:eastAsia="Georgia" w:hAnsi="Georgia"/>
          <w:sz w:val="14"/>
          <w:szCs w:val="14"/>
          <w:color w:val="003D4C"/>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108839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88390" cy="411480"/>
                    </a:xfrm>
                    <a:prstGeom prst="rect">
                      <a:avLst/>
                    </a:prstGeom>
                    <a:noFill/>
                  </pic:spPr>
                </pic:pic>
              </a:graphicData>
            </a:graphic>
          </wp:anchor>
        </w:drawing>
      </w:r>
    </w:p>
    <w:p>
      <w:pPr>
        <w:spacing w:after="0" w:line="37" w:lineRule="exact"/>
        <w:rPr>
          <w:sz w:val="20"/>
          <w:szCs w:val="20"/>
          <w:color w:val="auto"/>
        </w:rPr>
      </w:pPr>
    </w:p>
    <w:p>
      <w:pPr>
        <w:ind w:left="8140"/>
        <w:spacing w:after="0"/>
        <w:rPr>
          <w:sz w:val="20"/>
          <w:szCs w:val="20"/>
          <w:color w:val="auto"/>
        </w:rPr>
      </w:pPr>
      <w:r>
        <w:rPr>
          <w:rFonts w:ascii="Georgia" w:cs="Georgia" w:eastAsia="Georgia" w:hAnsi="Georgia"/>
          <w:sz w:val="14"/>
          <w:szCs w:val="14"/>
          <w:color w:val="003D4C"/>
        </w:rPr>
        <w:t>650 Page Mill Road</w:t>
      </w:r>
    </w:p>
    <w:p>
      <w:pPr>
        <w:spacing w:after="0" w:line="3" w:lineRule="exact"/>
        <w:rPr>
          <w:sz w:val="20"/>
          <w:szCs w:val="20"/>
          <w:color w:val="auto"/>
        </w:rPr>
      </w:pPr>
    </w:p>
    <w:p>
      <w:pPr>
        <w:ind w:left="8140"/>
        <w:spacing w:after="0"/>
        <w:rPr>
          <w:sz w:val="20"/>
          <w:szCs w:val="20"/>
          <w:color w:val="auto"/>
        </w:rPr>
      </w:pPr>
      <w:r>
        <w:rPr>
          <w:rFonts w:ascii="Georgia" w:cs="Georgia" w:eastAsia="Georgia" w:hAnsi="Georgia"/>
          <w:sz w:val="14"/>
          <w:szCs w:val="14"/>
          <w:color w:val="003D4C"/>
        </w:rPr>
        <w:t>Palo Alto, California 94304-1050</w:t>
      </w:r>
    </w:p>
    <w:p>
      <w:pPr>
        <w:spacing w:after="0" w:line="111" w:lineRule="exact"/>
        <w:rPr>
          <w:sz w:val="20"/>
          <w:szCs w:val="20"/>
          <w:color w:val="auto"/>
        </w:rPr>
      </w:pPr>
    </w:p>
    <w:p>
      <w:pPr>
        <w:ind w:left="8140"/>
        <w:spacing w:after="0"/>
        <w:rPr>
          <w:sz w:val="20"/>
          <w:szCs w:val="20"/>
          <w:color w:val="auto"/>
        </w:rPr>
      </w:pPr>
      <w:r>
        <w:rPr>
          <w:rFonts w:ascii="Georgia" w:cs="Georgia" w:eastAsia="Georgia" w:hAnsi="Georgia"/>
          <w:sz w:val="9"/>
          <w:szCs w:val="9"/>
          <w:color w:val="003D4C"/>
        </w:rPr>
        <w:t>o</w:t>
      </w:r>
      <w:r>
        <w:rPr>
          <w:rFonts w:ascii="Georgia" w:cs="Georgia" w:eastAsia="Georgia" w:hAnsi="Georgia"/>
          <w:sz w:val="14"/>
          <w:szCs w:val="14"/>
          <w:color w:val="003D4C"/>
        </w:rPr>
        <w:t>: (650) 493-9300</w:t>
      </w:r>
    </w:p>
    <w:p>
      <w:pPr>
        <w:spacing w:after="0" w:line="3" w:lineRule="exact"/>
        <w:rPr>
          <w:sz w:val="20"/>
          <w:szCs w:val="20"/>
          <w:color w:val="auto"/>
        </w:rPr>
      </w:pPr>
    </w:p>
    <w:p>
      <w:pPr>
        <w:ind w:left="8160"/>
        <w:spacing w:after="0"/>
        <w:rPr>
          <w:sz w:val="20"/>
          <w:szCs w:val="20"/>
          <w:color w:val="auto"/>
        </w:rPr>
      </w:pPr>
      <w:r>
        <w:rPr>
          <w:rFonts w:ascii="Georgia" w:cs="Georgia" w:eastAsia="Georgia" w:hAnsi="Georgia"/>
          <w:sz w:val="9"/>
          <w:szCs w:val="9"/>
          <w:color w:val="003D4C"/>
        </w:rPr>
        <w:t>f</w:t>
      </w:r>
      <w:r>
        <w:rPr>
          <w:rFonts w:ascii="Georgia" w:cs="Georgia" w:eastAsia="Georgia" w:hAnsi="Georgia"/>
          <w:sz w:val="14"/>
          <w:szCs w:val="14"/>
          <w:color w:val="003D4C"/>
        </w:rPr>
        <w:t>: (650) 493-6811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June 5, 2026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OnKure Therapeutics, Inc.</w:t>
      </w:r>
    </w:p>
    <w:p>
      <w:pPr>
        <w:spacing w:after="0"/>
        <w:rPr>
          <w:sz w:val="20"/>
          <w:szCs w:val="20"/>
          <w:color w:val="auto"/>
        </w:rPr>
      </w:pPr>
      <w:r>
        <w:rPr>
          <w:rFonts w:ascii="Times New Roman" w:cs="Times New Roman" w:eastAsia="Times New Roman" w:hAnsi="Times New Roman"/>
          <w:sz w:val="20"/>
          <w:szCs w:val="20"/>
          <w:color w:val="auto"/>
        </w:rPr>
        <w:t>6707 Winchester Circle, Suite 400</w:t>
      </w:r>
    </w:p>
    <w:p>
      <w:pPr>
        <w:spacing w:after="0"/>
        <w:rPr>
          <w:sz w:val="20"/>
          <w:szCs w:val="20"/>
          <w:color w:val="auto"/>
        </w:rPr>
      </w:pPr>
      <w:r>
        <w:rPr>
          <w:rFonts w:ascii="Times New Roman" w:cs="Times New Roman" w:eastAsia="Times New Roman" w:hAnsi="Times New Roman"/>
          <w:sz w:val="20"/>
          <w:szCs w:val="20"/>
          <w:color w:val="auto"/>
        </w:rPr>
        <w:t>Boulder, CO 80301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At your request, we have examined the Registration Statement on Form S-8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to be filed by OnKure Therapeutics,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the Securities and Exchange Commission (the “</w:t>
      </w:r>
      <w:r>
        <w:rPr>
          <w:rFonts w:ascii="Times New Roman" w:cs="Times New Roman" w:eastAsia="Times New Roman" w:hAnsi="Times New Roman"/>
          <w:sz w:val="20"/>
          <w:szCs w:val="20"/>
          <w:b w:val="1"/>
          <w:bCs w:val="1"/>
          <w:color w:val="auto"/>
        </w:rPr>
        <w:t>Commission</w:t>
      </w:r>
      <w:r>
        <w:rPr>
          <w:rFonts w:ascii="Times New Roman" w:cs="Times New Roman" w:eastAsia="Times New Roman" w:hAnsi="Times New Roman"/>
          <w:sz w:val="20"/>
          <w:szCs w:val="20"/>
          <w:color w:val="auto"/>
        </w:rPr>
        <w:t>”) on or about the date hereof, relating to the registration under the Securities Act of 1933, as amended (the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of shares of your Class A common stock, par value $0.0001 per share (the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consisting of 3,231,638 shares of Class A common stock to be issued under the Company’s Amended and Restated 2024 Equity Incentive Plan (the “</w:t>
      </w:r>
      <w:r>
        <w:rPr>
          <w:rFonts w:ascii="Times New Roman" w:cs="Times New Roman" w:eastAsia="Times New Roman" w:hAnsi="Times New Roman"/>
          <w:sz w:val="20"/>
          <w:szCs w:val="20"/>
          <w:b w:val="1"/>
          <w:bCs w:val="1"/>
          <w:color w:val="auto"/>
        </w:rPr>
        <w:t>2024 Plan</w:t>
      </w:r>
      <w:r>
        <w:rPr>
          <w:rFonts w:ascii="Times New Roman" w:cs="Times New Roman" w:eastAsia="Times New Roman" w:hAnsi="Times New Roman"/>
          <w:sz w:val="20"/>
          <w:szCs w:val="20"/>
          <w:color w:val="auto"/>
        </w:rPr>
        <w:t>”). As your legal counsel, we have reviewed the actions proposed to be taken by you in connection with the issuance and sale of the Shares to be issued under the 2024 Plan.</w:t>
      </w:r>
    </w:p>
    <w:p>
      <w:pPr>
        <w:spacing w:after="0" w:line="7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On the basis of the foregoing, and in reliance thereon, we are of the opinion that the Shares, when issued and sold in the manner described in the 2024 Plan and pursuant to the agreements that accompany the 2024 Plan, will be legally and validly issued, fully paid and nonassessable.</w:t>
      </w:r>
    </w:p>
    <w:p>
      <w:pPr>
        <w:spacing w:after="0" w:line="6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We hereby consent to the filing of this opinion as an exhibit to the above-referenced Registration Statement and to the use of our name wherever it appears in the Registration Statement and in any amendments thereto. In giving such consent, we do not thereby admit that we are in the category of persons whose consent is required under Section 7 of the Act or the rules and regulations of the Commission thereunder.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28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b w:val="1"/>
          <w:bCs w:val="1"/>
          <w:color w:val="auto"/>
        </w:rPr>
        <w:t>WILSON SONSINI GOODRICH &amp; ROSATI</w:t>
      </w:r>
    </w:p>
    <w:p>
      <w:pPr>
        <w:spacing w:after="0" w:line="3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Professional Corporation</w:t>
      </w:r>
    </w:p>
    <w:p>
      <w:pPr>
        <w:spacing w:after="0" w:line="25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/s/ Wilson Sonsini Goodrich &amp; Rosati,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ind w:left="1780"/>
              <w:spacing w:after="0"/>
              <w:rPr>
                <w:sz w:val="20"/>
                <w:szCs w:val="20"/>
                <w:color w:val="auto"/>
              </w:rPr>
            </w:pPr>
            <w:r>
              <w:rPr>
                <w:rFonts w:ascii="Times New Roman" w:cs="Times New Roman" w:eastAsia="Times New Roman" w:hAnsi="Times New Roman"/>
                <w:sz w:val="13"/>
                <w:szCs w:val="13"/>
                <w:color w:val="003D4C"/>
                <w:w w:val="99"/>
              </w:rPr>
              <w:t>AUSTINBOSTON</w:t>
            </w:r>
          </w:p>
        </w:tc>
        <w:tc>
          <w:tcPr>
            <w:tcW w:w="880" w:type="dxa"/>
            <w:vAlign w:val="bottom"/>
          </w:tcPr>
          <w:p>
            <w:pPr>
              <w:ind w:left="180"/>
              <w:spacing w:after="0"/>
              <w:rPr>
                <w:sz w:val="20"/>
                <w:szCs w:val="20"/>
                <w:color w:val="auto"/>
              </w:rPr>
            </w:pPr>
            <w:r>
              <w:rPr>
                <w:rFonts w:ascii="Times New Roman" w:cs="Times New Roman" w:eastAsia="Times New Roman" w:hAnsi="Times New Roman"/>
                <w:sz w:val="13"/>
                <w:szCs w:val="13"/>
                <w:color w:val="003D4C"/>
              </w:rPr>
              <w:t>BOULDER</w:t>
            </w:r>
          </w:p>
        </w:tc>
        <w:tc>
          <w:tcPr>
            <w:tcW w:w="1960" w:type="dxa"/>
            <w:vAlign w:val="bottom"/>
          </w:tcPr>
          <w:p>
            <w:pPr>
              <w:ind w:left="140"/>
              <w:spacing w:after="0"/>
              <w:rPr>
                <w:sz w:val="20"/>
                <w:szCs w:val="20"/>
                <w:color w:val="auto"/>
              </w:rPr>
            </w:pPr>
            <w:r>
              <w:rPr>
                <w:rFonts w:ascii="Times New Roman" w:cs="Times New Roman" w:eastAsia="Times New Roman" w:hAnsi="Times New Roman"/>
                <w:sz w:val="13"/>
                <w:szCs w:val="13"/>
                <w:color w:val="003D4C"/>
                <w:w w:val="96"/>
              </w:rPr>
              <w:t>BRUSSELSHONG KONG</w:t>
            </w: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3D4C"/>
              </w:rPr>
              <w:t>LONDON</w:t>
            </w:r>
          </w:p>
        </w:tc>
        <w:tc>
          <w:tcPr>
            <w:tcW w:w="4500" w:type="dxa"/>
            <w:vAlign w:val="bottom"/>
          </w:tcPr>
          <w:p>
            <w:pPr>
              <w:ind w:left="20"/>
              <w:spacing w:after="0"/>
              <w:rPr>
                <w:sz w:val="20"/>
                <w:szCs w:val="20"/>
                <w:color w:val="auto"/>
              </w:rPr>
            </w:pPr>
            <w:r>
              <w:rPr>
                <w:rFonts w:ascii="Times New Roman" w:cs="Times New Roman" w:eastAsia="Times New Roman" w:hAnsi="Times New Roman"/>
                <w:sz w:val="13"/>
                <w:szCs w:val="13"/>
                <w:color w:val="003D4C"/>
                <w:w w:val="97"/>
              </w:rPr>
              <w:t>LOS ANGELESNEW YORKPALO ALTO</w:t>
            </w:r>
          </w:p>
        </w:tc>
      </w:tr>
      <w:tr>
        <w:trPr>
          <w:trHeight w:val="164"/>
        </w:trPr>
        <w:tc>
          <w:tcPr>
            <w:tcW w:w="3060" w:type="dxa"/>
            <w:vAlign w:val="bottom"/>
          </w:tcPr>
          <w:p>
            <w:pPr>
              <w:ind w:left="1860"/>
              <w:spacing w:after="0"/>
              <w:rPr>
                <w:sz w:val="20"/>
                <w:szCs w:val="20"/>
                <w:color w:val="auto"/>
              </w:rPr>
            </w:pPr>
            <w:r>
              <w:rPr>
                <w:rFonts w:ascii="Times New Roman" w:cs="Times New Roman" w:eastAsia="Times New Roman" w:hAnsi="Times New Roman"/>
                <w:sz w:val="13"/>
                <w:szCs w:val="13"/>
                <w:color w:val="003D4C"/>
              </w:rPr>
              <w:t>SALT LAKE CITY</w:t>
            </w:r>
          </w:p>
        </w:tc>
        <w:tc>
          <w:tcPr>
            <w:tcW w:w="880" w:type="dxa"/>
            <w:vAlign w:val="bottom"/>
          </w:tcPr>
          <w:p>
            <w:pPr>
              <w:ind w:left="60"/>
              <w:spacing w:after="0"/>
              <w:rPr>
                <w:sz w:val="20"/>
                <w:szCs w:val="20"/>
                <w:color w:val="auto"/>
              </w:rPr>
            </w:pPr>
            <w:r>
              <w:rPr>
                <w:rFonts w:ascii="Times New Roman" w:cs="Times New Roman" w:eastAsia="Times New Roman" w:hAnsi="Times New Roman"/>
                <w:sz w:val="13"/>
                <w:szCs w:val="13"/>
                <w:color w:val="003D4C"/>
              </w:rPr>
              <w:t>SAN DIEGO</w:t>
            </w:r>
          </w:p>
        </w:tc>
        <w:tc>
          <w:tcPr>
            <w:tcW w:w="1960" w:type="dxa"/>
            <w:vAlign w:val="bottom"/>
          </w:tcPr>
          <w:p>
            <w:pPr>
              <w:ind w:left="100"/>
              <w:spacing w:after="0"/>
              <w:rPr>
                <w:sz w:val="20"/>
                <w:szCs w:val="20"/>
                <w:color w:val="auto"/>
              </w:rPr>
            </w:pPr>
            <w:r>
              <w:rPr>
                <w:rFonts w:ascii="Times New Roman" w:cs="Times New Roman" w:eastAsia="Times New Roman" w:hAnsi="Times New Roman"/>
                <w:sz w:val="13"/>
                <w:szCs w:val="13"/>
                <w:color w:val="003D4C"/>
                <w:w w:val="95"/>
              </w:rPr>
              <w:t>SAN FRANCISCOSEATTLE</w:t>
            </w: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003D4C"/>
                <w:w w:val="94"/>
              </w:rPr>
              <w:t>SHANGHAI</w:t>
            </w:r>
          </w:p>
        </w:tc>
        <w:tc>
          <w:tcPr>
            <w:tcW w:w="4500" w:type="dxa"/>
            <w:vAlign w:val="bottom"/>
          </w:tcPr>
          <w:p>
            <w:pPr>
              <w:ind w:left="240"/>
              <w:spacing w:after="0"/>
              <w:rPr>
                <w:sz w:val="20"/>
                <w:szCs w:val="20"/>
                <w:color w:val="auto"/>
              </w:rPr>
            </w:pPr>
            <w:r>
              <w:rPr>
                <w:rFonts w:ascii="Times New Roman" w:cs="Times New Roman" w:eastAsia="Times New Roman" w:hAnsi="Times New Roman"/>
                <w:sz w:val="13"/>
                <w:szCs w:val="13"/>
                <w:color w:val="003D4C"/>
                <w:w w:val="96"/>
              </w:rPr>
              <w:t>WASHINGTON, DCWILMINGTON, DE</w:t>
            </w:r>
          </w:p>
        </w:tc>
      </w:tr>
      <w:tr>
        <w:trPr>
          <w:trHeight w:val="1022"/>
        </w:trPr>
        <w:tc>
          <w:tcPr>
            <w:tcW w:w="30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dated March 12, 2026, with respect to the consolidated financial statements of OnKure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and subsidiaries, incorporated herein by reference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rPr>
          <w:sz w:val="20"/>
          <w:szCs w:val="20"/>
          <w:color w:val="auto"/>
        </w:rPr>
      </w:pPr>
      <w:r>
        <w:rPr>
          <w:rFonts w:ascii="Arial" w:cs="Arial" w:eastAsia="Arial" w:hAnsi="Arial"/>
          <w:sz w:val="18"/>
          <w:szCs w:val="18"/>
          <w:color w:val="auto"/>
        </w:rPr>
        <w:t>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1485265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OnKure Therapeutics, Inc.</w:t>
      </w:r>
    </w:p>
    <w:p>
      <w:pPr>
        <w:spacing w:after="0" w:line="21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Exact name of registrant as specified in its charter</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5547360</wp:posOffset>
            </wp:positionH>
            <wp:positionV relativeFrom="paragraph">
              <wp:posOffset>58420</wp:posOffset>
            </wp:positionV>
            <wp:extent cx="93980" cy="514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93980" cy="514350"/>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58420</wp:posOffset>
            </wp:positionV>
            <wp:extent cx="93980" cy="514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93980" cy="514350"/>
                    </a:xfrm>
                    <a:prstGeom prst="rect">
                      <a:avLst/>
                    </a:prstGeom>
                    <a:noFill/>
                  </pic:spPr>
                </pic:pic>
              </a:graphicData>
            </a:graphic>
          </wp:anchor>
        </w:drawing>
        <w:drawing>
          <wp:anchor simplePos="0" relativeHeight="251657728" behindDoc="1" locked="0" layoutInCell="0" allowOverlap="1">
            <wp:simplePos x="0" y="0"/>
            <wp:positionH relativeFrom="column">
              <wp:posOffset>6978650</wp:posOffset>
            </wp:positionH>
            <wp:positionV relativeFrom="paragraph">
              <wp:posOffset>58420</wp:posOffset>
            </wp:positionV>
            <wp:extent cx="93980" cy="514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93980" cy="514350"/>
                    </a:xfrm>
                    <a:prstGeom prst="rect">
                      <a:avLst/>
                    </a:prstGeom>
                    <a:noFill/>
                  </pic:spPr>
                </pic:pic>
              </a:graphicData>
            </a:graphic>
          </wp:anchor>
        </w:drawing>
      </w:r>
    </w:p>
    <w:p>
      <w:pPr>
        <w:spacing w:after="0" w:line="69"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480" w:type="dxa"/>
            <w:vAlign w:val="bottom"/>
            <w:tcBorders>
              <w:top w:val="single" w:sz="8" w:color="auto"/>
              <w:left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210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righ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Proposed</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right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vMerge w:val="continue"/>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12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2100" w:type="dxa"/>
            <w:vAlign w:val="bottom"/>
            <w:tcBorders>
              <w:right w:val="single" w:sz="8" w:color="auto"/>
            </w:tcBorders>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 Registered</w:t>
            </w: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vMerge w:val="continue"/>
          </w:tcPr>
          <w:p>
            <w:pPr>
              <w:spacing w:after="0"/>
              <w:rPr>
                <w:sz w:val="16"/>
                <w:szCs w:val="16"/>
                <w:color w:val="auto"/>
              </w:rPr>
            </w:pPr>
          </w:p>
        </w:tc>
        <w:tc>
          <w:tcPr>
            <w:tcW w:w="210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36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20" w:type="dxa"/>
            <w:vAlign w:val="bottom"/>
            <w:tcBorders>
              <w:right w:val="single" w:sz="8" w:color="auto"/>
            </w:tcBorders>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480" w:type="dxa"/>
            <w:vAlign w:val="bottom"/>
            <w:tcBorders>
              <w:top w:val="single" w:sz="8" w:color="auto"/>
              <w:left w:val="single" w:sz="8" w:color="CFF0FC"/>
              <w:right w:val="single" w:sz="8" w:color="auto"/>
            </w:tcBorders>
            <w:shd w:val="clear" w:color="auto" w:fill="CFF0FC"/>
          </w:tcPr>
          <w:p>
            <w:pPr>
              <w:spacing w:after="0"/>
              <w:rPr>
                <w:sz w:val="8"/>
                <w:szCs w:val="8"/>
                <w:color w:val="auto"/>
              </w:rPr>
            </w:pPr>
          </w:p>
        </w:tc>
        <w:tc>
          <w:tcPr>
            <w:tcW w:w="1140" w:type="dxa"/>
            <w:vAlign w:val="bottom"/>
            <w:tcBorders>
              <w:top w:val="single" w:sz="8" w:color="auto"/>
              <w:right w:val="single" w:sz="8" w:color="auto"/>
            </w:tcBorders>
            <w:shd w:val="clear" w:color="auto" w:fill="CFF0FC"/>
          </w:tcPr>
          <w:p>
            <w:pPr>
              <w:spacing w:after="0"/>
              <w:rPr>
                <w:sz w:val="8"/>
                <w:szCs w:val="8"/>
                <w:color w:val="auto"/>
              </w:rPr>
            </w:pPr>
          </w:p>
        </w:tc>
        <w:tc>
          <w:tcPr>
            <w:tcW w:w="2100" w:type="dxa"/>
            <w:vAlign w:val="bottom"/>
            <w:tcBorders>
              <w:top w:val="single" w:sz="8" w:color="auto"/>
              <w:right w:val="single" w:sz="8" w:color="auto"/>
            </w:tcBorders>
            <w:shd w:val="clear" w:color="auto" w:fill="CFF0FC"/>
          </w:tcPr>
          <w:p>
            <w:pPr>
              <w:spacing w:after="0" w:line="103" w:lineRule="exact"/>
              <w:rPr>
                <w:sz w:val="20"/>
                <w:szCs w:val="20"/>
                <w:color w:val="auto"/>
              </w:rPr>
            </w:pPr>
            <w:r>
              <w:rPr>
                <w:rFonts w:ascii="Times New Roman" w:cs="Times New Roman" w:eastAsia="Times New Roman" w:hAnsi="Times New Roman"/>
                <w:sz w:val="11"/>
                <w:szCs w:val="11"/>
                <w:color w:val="auto"/>
              </w:rPr>
              <w:t>Class A Common Stock, par value</w:t>
            </w:r>
          </w:p>
        </w:tc>
        <w:tc>
          <w:tcPr>
            <w:tcW w:w="980" w:type="dxa"/>
            <w:vAlign w:val="bottom"/>
            <w:tcBorders>
              <w:top w:val="single" w:sz="8" w:color="auto"/>
              <w:right w:val="single" w:sz="8" w:color="auto"/>
            </w:tcBorders>
            <w:shd w:val="clear" w:color="auto" w:fill="CFF0FC"/>
          </w:tcPr>
          <w:p>
            <w:pPr>
              <w:jc w:val="center"/>
              <w:spacing w:after="0" w:line="103" w:lineRule="exact"/>
              <w:rPr>
                <w:sz w:val="20"/>
                <w:szCs w:val="20"/>
                <w:color w:val="auto"/>
              </w:rPr>
            </w:pPr>
            <w:r>
              <w:rPr>
                <w:rFonts w:ascii="Times New Roman" w:cs="Times New Roman" w:eastAsia="Times New Roman" w:hAnsi="Times New Roman"/>
                <w:sz w:val="11"/>
                <w:szCs w:val="11"/>
                <w:color w:val="auto"/>
              </w:rPr>
              <w:t>Other</w:t>
            </w:r>
          </w:p>
        </w:tc>
        <w:tc>
          <w:tcPr>
            <w:tcW w:w="124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right w:val="single" w:sz="8" w:color="auto"/>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86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right w:val="single" w:sz="8" w:color="auto"/>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118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right w:val="single" w:sz="8" w:color="auto"/>
            </w:tcBorders>
            <w:shd w:val="clear" w:color="auto" w:fill="CFF0FC"/>
          </w:tcPr>
          <w:p>
            <w:pPr>
              <w:spacing w:after="0"/>
              <w:rPr>
                <w:sz w:val="8"/>
                <w:szCs w:val="8"/>
                <w:color w:val="auto"/>
              </w:rPr>
            </w:pPr>
          </w:p>
        </w:tc>
        <w:tc>
          <w:tcPr>
            <w:tcW w:w="104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right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90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right w:val="single" w:sz="8" w:color="auto"/>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80" w:type="dxa"/>
            <w:vAlign w:val="bottom"/>
            <w:tcBorders>
              <w:left w:val="single" w:sz="8" w:color="CFF0FC"/>
              <w:right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Borders>
              <w:right w:val="single" w:sz="8" w:color="auto"/>
            </w:tcBorders>
            <w:shd w:val="clear" w:color="auto" w:fill="CFF0FC"/>
          </w:tcPr>
          <w:p>
            <w:pPr>
              <w:spacing w:after="0"/>
              <w:rPr>
                <w:sz w:val="12"/>
                <w:szCs w:val="12"/>
                <w:color w:val="auto"/>
              </w:rPr>
            </w:pPr>
          </w:p>
        </w:tc>
        <w:tc>
          <w:tcPr>
            <w:tcW w:w="210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$0.0001 per share, reserved for</w:t>
            </w:r>
          </w:p>
        </w:tc>
        <w:tc>
          <w:tcPr>
            <w:tcW w:w="980" w:type="dxa"/>
            <w:vAlign w:val="bottom"/>
            <w:tcBorders>
              <w:right w:val="single" w:sz="8" w:color="auto"/>
            </w:tcBorders>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Borders>
              <w:left w:val="single" w:sz="8" w:color="CFF0FC"/>
              <w:right w:val="single" w:sz="8" w:color="auto"/>
            </w:tcBorders>
            <w:vMerge w:val="continue"/>
            <w:shd w:val="clear" w:color="auto" w:fill="CFF0FC"/>
          </w:tcPr>
          <w:p>
            <w:pPr>
              <w:spacing w:after="0"/>
              <w:rPr>
                <w:sz w:val="12"/>
                <w:szCs w:val="12"/>
                <w:color w:val="auto"/>
              </w:rPr>
            </w:pPr>
          </w:p>
        </w:tc>
        <w:tc>
          <w:tcPr>
            <w:tcW w:w="1140" w:type="dxa"/>
            <w:vAlign w:val="bottom"/>
            <w:tcBorders>
              <w:right w:val="single" w:sz="8" w:color="auto"/>
            </w:tcBorders>
            <w:shd w:val="clear" w:color="auto" w:fill="CFF0FC"/>
          </w:tcPr>
          <w:p>
            <w:pPr>
              <w:spacing w:after="0"/>
              <w:rPr>
                <w:sz w:val="12"/>
                <w:szCs w:val="12"/>
                <w:color w:val="auto"/>
              </w:rPr>
            </w:pPr>
          </w:p>
        </w:tc>
        <w:tc>
          <w:tcPr>
            <w:tcW w:w="210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under the Registrant's</w:t>
            </w:r>
          </w:p>
        </w:tc>
        <w:tc>
          <w:tcPr>
            <w:tcW w:w="980" w:type="dxa"/>
            <w:vAlign w:val="bottom"/>
            <w:tcBorders>
              <w:right w:val="single" w:sz="8" w:color="auto"/>
            </w:tcBorders>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Borders>
              <w:left w:val="single" w:sz="8" w:color="CFF0FC"/>
              <w:right w:val="single" w:sz="8" w:color="auto"/>
            </w:tcBorders>
            <w:shd w:val="clear" w:color="auto" w:fill="CFF0FC"/>
          </w:tcPr>
          <w:p>
            <w:pPr>
              <w:spacing w:after="0"/>
              <w:rPr>
                <w:sz w:val="12"/>
                <w:szCs w:val="12"/>
                <w:color w:val="auto"/>
              </w:rPr>
            </w:pPr>
          </w:p>
        </w:tc>
        <w:tc>
          <w:tcPr>
            <w:tcW w:w="1140" w:type="dxa"/>
            <w:vAlign w:val="bottom"/>
            <w:tcBorders>
              <w:right w:val="single" w:sz="8" w:color="auto"/>
            </w:tcBorders>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Equity</w:t>
            </w:r>
          </w:p>
        </w:tc>
        <w:tc>
          <w:tcPr>
            <w:tcW w:w="2100" w:type="dxa"/>
            <w:vAlign w:val="bottom"/>
            <w:tcBorders>
              <w:right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Amended and Restated 2024 Equity</w:t>
            </w:r>
          </w:p>
        </w:tc>
        <w:tc>
          <w:tcPr>
            <w:tcW w:w="980" w:type="dxa"/>
            <w:vAlign w:val="bottom"/>
            <w:tcBorders>
              <w:right w:val="single" w:sz="8" w:color="auto"/>
            </w:tcBorders>
            <w:shd w:val="clear" w:color="auto" w:fill="CFF0FC"/>
          </w:tcPr>
          <w:p>
            <w:pPr>
              <w:spacing w:after="0"/>
              <w:rPr>
                <w:sz w:val="12"/>
                <w:szCs w:val="12"/>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3,231,638</w:t>
            </w:r>
          </w:p>
        </w:tc>
        <w:tc>
          <w:tcPr>
            <w:tcW w:w="1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80" w:type="dxa"/>
            <w:vAlign w:val="bottom"/>
            <w:vMerge w:val="restart"/>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13,443,614.08</w:t>
            </w:r>
          </w:p>
        </w:tc>
        <w:tc>
          <w:tcPr>
            <w:tcW w:w="120" w:type="dxa"/>
            <w:vAlign w:val="bottom"/>
            <w:tcBorders>
              <w:right w:val="single" w:sz="8" w:color="auto"/>
            </w:tcBorders>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0.0001381</w:t>
            </w:r>
          </w:p>
        </w:tc>
        <w:tc>
          <w:tcPr>
            <w:tcW w:w="120" w:type="dxa"/>
            <w:vAlign w:val="bottom"/>
            <w:tcBorders>
              <w:right w:val="single" w:sz="8" w:color="auto"/>
            </w:tcBorders>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1,856.56</w:t>
            </w: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 w:type="dxa"/>
            <w:vAlign w:val="bottom"/>
            <w:tcBorders>
              <w:left w:val="single" w:sz="8" w:color="CFF0FC"/>
              <w:bottom w:val="single" w:sz="8" w:color="auto"/>
              <w:right w:val="single" w:sz="8" w:color="auto"/>
            </w:tcBorders>
            <w:shd w:val="clear" w:color="auto" w:fill="CFF0FC"/>
          </w:tcPr>
          <w:p>
            <w:pPr>
              <w:spacing w:after="0"/>
              <w:rPr>
                <w:sz w:val="14"/>
                <w:szCs w:val="14"/>
                <w:color w:val="auto"/>
              </w:rPr>
            </w:pPr>
          </w:p>
        </w:tc>
        <w:tc>
          <w:tcPr>
            <w:tcW w:w="1140" w:type="dxa"/>
            <w:vAlign w:val="bottom"/>
            <w:tcBorders>
              <w:bottom w:val="single" w:sz="8" w:color="auto"/>
              <w:right w:val="single" w:sz="8" w:color="auto"/>
            </w:tcBorders>
            <w:vMerge w:val="continue"/>
            <w:shd w:val="clear" w:color="auto" w:fill="CFF0FC"/>
          </w:tcPr>
          <w:p>
            <w:pPr>
              <w:spacing w:after="0"/>
              <w:rPr>
                <w:sz w:val="14"/>
                <w:szCs w:val="14"/>
                <w:color w:val="auto"/>
              </w:rPr>
            </w:pPr>
          </w:p>
        </w:tc>
        <w:tc>
          <w:tcPr>
            <w:tcW w:w="210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Incentive Plan</w:t>
            </w:r>
          </w:p>
        </w:tc>
        <w:tc>
          <w:tcPr>
            <w:tcW w:w="980" w:type="dxa"/>
            <w:vAlign w:val="bottom"/>
            <w:tcBorders>
              <w:bottom w:val="single" w:sz="8" w:color="auto"/>
              <w:right w:val="single" w:sz="8" w:color="auto"/>
            </w:tcBorders>
            <w:shd w:val="clear" w:color="auto" w:fill="CFF0FC"/>
          </w:tcPr>
          <w:p>
            <w:pPr>
              <w:spacing w:after="0"/>
              <w:rPr>
                <w:sz w:val="14"/>
                <w:szCs w:val="14"/>
                <w:color w:val="auto"/>
              </w:rPr>
            </w:pPr>
          </w:p>
        </w:tc>
        <w:tc>
          <w:tcPr>
            <w:tcW w:w="12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right w:val="single" w:sz="8" w:color="auto"/>
            </w:tcBorders>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right w:val="single" w:sz="8" w:color="auto"/>
            </w:tcBorders>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11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right w:val="single" w:sz="8" w:color="auto"/>
            </w:tcBorders>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right w:val="single" w:sz="8" w:color="auto"/>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right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0" w:type="dxa"/>
            <w:vAlign w:val="bottom"/>
            <w:tcBorders>
              <w:right w:val="single" w:sz="8" w:color="auto"/>
            </w:tcBorders>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980" w:type="dxa"/>
            <w:vAlign w:val="bottom"/>
            <w:tcBorders>
              <w:right w:val="single" w:sz="8" w:color="auto"/>
            </w:tcBorders>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3,231,638</w:t>
            </w:r>
          </w:p>
        </w:tc>
        <w:tc>
          <w:tcPr>
            <w:tcW w:w="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Borders>
              <w:right w:val="single" w:sz="8" w:color="auto"/>
            </w:tcBorders>
            <w:gridSpan w:val="2"/>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13,443,614.08</w:t>
            </w:r>
          </w:p>
        </w:tc>
        <w:tc>
          <w:tcPr>
            <w:tcW w:w="12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1,856.56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Borders>
              <w:top w:val="single" w:sz="8" w:color="auto"/>
              <w:left w:val="single" w:sz="8" w:color="CFF0FC"/>
              <w:bottom w:val="single" w:sz="8" w:color="auto"/>
              <w:right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210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right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2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1,856.56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-445135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-445135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-445135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-445135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-445135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-153670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-153670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-153670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-153670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5" w:lineRule="exact"/>
        <w:rPr>
          <w:sz w:val="20"/>
          <w:szCs w:val="20"/>
          <w:color w:val="auto"/>
        </w:rPr>
      </w:pPr>
    </w:p>
    <w:p>
      <w:pPr>
        <w:ind w:left="520" w:right="60" w:hanging="512"/>
        <w:spacing w:after="0" w:line="254"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this Registration Statement on Form S-8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covers any additional shares of OnKure Therapeutics, Inc.’s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Class A common stock that become issuable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Registrant’s Amended and Restated 2024 Equity Incentive Plan (the “</w:t>
      </w:r>
      <w:r>
        <w:rPr>
          <w:rFonts w:ascii="Times New Roman" w:cs="Times New Roman" w:eastAsia="Times New Roman" w:hAnsi="Times New Roman"/>
          <w:sz w:val="18"/>
          <w:szCs w:val="18"/>
          <w:b w:val="1"/>
          <w:bCs w:val="1"/>
          <w:color w:val="auto"/>
        </w:rPr>
        <w:t>2024 Plan</w:t>
      </w:r>
      <w:r>
        <w:rPr>
          <w:rFonts w:ascii="Times New Roman" w:cs="Times New Roman" w:eastAsia="Times New Roman" w:hAnsi="Times New Roman"/>
          <w:sz w:val="18"/>
          <w:szCs w:val="18"/>
          <w:color w:val="auto"/>
        </w:rPr>
        <w:t>”) by reason of any stock dividend, stock split, recapitalization or other similar transaction effected without the Registrant’s receipt of consideration which results in an increase in the number of the outstanding shares of Class A common stock. The amount registered represents an increase to the number of shares of the Registrant’s Class A common stock reserved for issuance pursuant to future awards under the 2024 Plan that became effective upon the Registrant obtaining stockholder approval of the Restated 2024 Plan at the Registrant’s 2026 Annual Meeting of Stockholders on June 3, 2026. The proposed maximum offer price is estimated in accordance with Rule 457(c) and (h) of the Securities Act solely for the purpose of calculating the registration fee on the basis of $4.16 per share, which is the average of the high and low prices of the Registrant’s Class A common stock, as reported on the Nasdaq Global Market, on 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07"/>
    </w:lvl>
  </w:abstractNum>
  <w:abstractNum w:abstractNumId="2">
    <w:nsid w:val="515F007C"/>
    <w:multiLevelType w:val="hybridMultilevel"/>
    <w:lvl w:ilvl="0">
      <w:lvlJc w:val="left"/>
      <w:lvlText w:val="%1."/>
      <w:numFmt w:val="decimal"/>
      <w:start w:val="1"/>
    </w:lvl>
    <w:lvl w:ilvl="1">
      <w:lvlJc w:val="left"/>
      <w:lvlText w:val="(%2)"/>
      <w:numFmt w:val="lowerLetter"/>
      <w:start w:val="1"/>
    </w:lvl>
  </w:abstractNum>
  <w:abstractNum w:abstractNumId="3">
    <w:nsid w:val="5BD062C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
    <w:nsid w:val="12200854"/>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5">
    <w:nsid w:val="4DB127F8"/>
    <w:multiLevelType w:val="hybridMultilevel"/>
    <w:lvl w:ilvl="0">
      <w:lvlJc w:val="left"/>
      <w:lvlText w:val="%1."/>
      <w:numFmt w:val="decimal"/>
      <w:start w:val="5"/>
    </w:lvl>
    <w:lvl w:ilvl="1">
      <w:lvlJc w:val="left"/>
      <w:lvlText w:val="(%2)"/>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decimal"/>
      <w:start w:val="1"/>
    </w:lvl>
    <w:lvl w:ilvl="1">
      <w:lvlJc w:val="left"/>
      <w:lvlText w:val="(%2)"/>
      <w:numFmt w:val="lowerLetter"/>
      <w:start w:val="3"/>
    </w:lvl>
  </w:abstractNum>
  <w:abstractNum w:abstractNumId="8">
    <w:nsid w:val="1190CDE7"/>
    <w:multiLevelType w:val="hybridMultilevel"/>
    <w:lvl w:ilvl="0">
      <w:lvlJc w:val="left"/>
      <w:lvlText w:val="%1."/>
      <w:numFmt w:val="decimal"/>
      <w:start w:val="8"/>
    </w:lvl>
    <w:lvl w:ilvl="1">
      <w:lvlJc w:val="left"/>
      <w:lvlText w:val="%2"/>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8"/>
    </w:lvl>
  </w:abstractNum>
  <w:abstractNum w:abstractNumId="11">
    <w:nsid w:val="3352255A"/>
    <w:multiLevelType w:val="hybridMultilevel"/>
    <w:lvl w:ilvl="0">
      <w:lvlJc w:val="left"/>
      <w:lvlText w:val="%1."/>
      <w:numFmt w:val="upperLetter"/>
      <w:start w:val="9"/>
    </w:lvl>
    <w:lvl w:ilvl="1">
      <w:lvlJc w:val="left"/>
      <w:lvlText w:val="%2."/>
      <w:numFmt w:val="decimal"/>
      <w:start w:val="2"/>
    </w:lvl>
    <w:lvl w:ilvl="2">
      <w:lvlJc w:val="left"/>
      <w:lvlText w:val="(%3)"/>
      <w:numFmt w:val="lowerLetter"/>
      <w:start w:val="1"/>
    </w:lvl>
  </w:abstractNum>
  <w:abstractNum w:abstractNumId="12">
    <w:nsid w:val="109CF92E"/>
    <w:multiLevelType w:val="hybridMultilevel"/>
    <w:lvl w:ilvl="0">
      <w:lvlJc w:val="left"/>
      <w:lvlText w:val="%1."/>
      <w:numFmt w:val="decimal"/>
      <w:start w:val="5"/>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jpe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13" Type="http://schemas.openxmlformats.org/officeDocument/2006/relationships/hyperlink" Target="https://www.sec.gov/Archives/edgar/data/1637715/000095017024134582/okur_s-8_20241209_no_xbr.htm" TargetMode="External"/><Relationship Id="rId14" Type="http://schemas.openxmlformats.org/officeDocument/2006/relationships/hyperlink" Target="https://www.sec.gov/Archives/edgar/data/1637715/000095017025036363/okur_s-8_20250310_no_xbr.htm" TargetMode="External"/><Relationship Id="rId15" Type="http://schemas.openxmlformats.org/officeDocument/2006/relationships/hyperlink" Target="https://www.sec.gov/Archives/edgar/data/1637715/000119312526104215/okur-20260312.htm" TargetMode="External"/><Relationship Id="rId16" Type="http://schemas.openxmlformats.org/officeDocument/2006/relationships/hyperlink" Target="https://www.sec.gov/ix?doc=/Archives/edgar/data/0001637715/000119312526104147/okur-20251231.htm" TargetMode="External"/><Relationship Id="rId17" Type="http://schemas.openxmlformats.org/officeDocument/2006/relationships/hyperlink" Target="https://www.sec.gov/Archives/edgar/data/1637715/000119312526104147/okur-ex4_2.htm" TargetMode="External"/><Relationship Id="rId19" Type="http://schemas.openxmlformats.org/officeDocument/2006/relationships/hyperlink" Target="https://www.sec.gov/Archives/edgar/data/1637715/000119312524234487/d836681dex32.htm" TargetMode="External"/><Relationship Id="rId20" Type="http://schemas.openxmlformats.org/officeDocument/2006/relationships/hyperlink" Target="https://www.sec.gov/Archives/edgar/data/1637715/000119312524234487/d836681dex33.htm" TargetMode="External"/><Relationship Id="rId21" Type="http://schemas.openxmlformats.org/officeDocument/2006/relationships/hyperlink" Target="https://www.sec.gov/Archives/edgar/data/1637715/000119312526257423/okur-ex10_1.htm" TargetMode="External"/><Relationship Id="rId22" Type="http://schemas.openxmlformats.org/officeDocument/2006/relationships/hyperlink" Target="https://www.sec.gov/Archives/edgar/data/1637715/000119312524202432/d837477dex10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2026-06-05T15:24:31Z</dcterms:created>
  <dcterms:modified xsi:type="dcterms:W3CDTF">2026-06-05T15:24:31Z</dcterms:modified>
</cp:coreProperties>
</file>