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12026_080808.xml.htm"/>
      <w:bookmarkStart w:id="1" w:name="ksform408112026_0808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Carruthers R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ONKURE THEREAPEUTICS,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6707 WINCHESTER CIRCLE,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BOULDER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OnKure Therapeutics, Inc.</w:t>
              </w:r>
            </w:hyperlink>
            <w:r>
              <w:rPr/>
              <w:t xml:space="preserve"> [ </w:t>
            </w:r>
            <w:r>
              <w:rPr>
                <w:rFonts w:ascii="Times;serif" w:hAnsi="Times;serif"/>
                <w:color w:val="0000FF"/>
                <w:sz w:val="24"/>
                <w:shd w:fill="FFFFFF" w:val="clear"/>
              </w:rPr>
              <w:t>OKUR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22,350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22,350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100% of the shares subject to the option will vest on the earlier of June 4, 2027 or the day prior to the date of the Issuer's next annual meeting of stockholders, subject to the Reporting Person continuing as a service provider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Rogan Nunn,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4467" TargetMode="External"/><Relationship Id="rId5" Type="http://schemas.openxmlformats.org/officeDocument/2006/relationships/hyperlink" Target="http://www.sec.gov/cgi-bin/browse-edgar?action=getcompany&amp;CIK=00016377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3363</Characters>
  <CharactersWithSpaces>3918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