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okur-20260603.htm"/>
      <w:bookmarkStart w:id="1" w:name="ksokur2026060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03,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OnKure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001-40315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47-2309515</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6707 Winchester Circle, #400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Boulder, Colorado</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80301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 (720)</w:t>
            </w:r>
            <w:r>
              <w:rPr>
                <w:rFonts w:ascii="Times New Roman" w:hAnsi="Times New Roman"/>
                <w:color w:val="000000"/>
                <w:sz w:val="20"/>
              </w:rPr>
              <w:t xml:space="preserve"> </w:t>
            </w:r>
            <w:r>
              <w:rPr>
                <w:rFonts w:ascii="Times New Roman" w:hAnsi="Times New Roman"/>
                <w:b/>
                <w:color w:val="000000"/>
                <w:sz w:val="20"/>
              </w:rPr>
              <w:t>307-2892</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430" w:type="dxa"/>
        <w:jc w:val="left"/>
        <w:tblInd w:w="0" w:type="dxa"/>
        <w:tblLayout w:type="fixed"/>
        <w:tblCellMar>
          <w:top w:w="28" w:type="dxa"/>
          <w:left w:w="28" w:type="dxa"/>
          <w:bottom w:w="28" w:type="dxa"/>
          <w:right w:w="28" w:type="dxa"/>
        </w:tblCellMar>
      </w:tblPr>
      <w:tblGrid>
        <w:gridCol w:w="4366"/>
        <w:gridCol w:w="146"/>
        <w:gridCol w:w="946"/>
        <w:gridCol w:w="146"/>
        <w:gridCol w:w="3826"/>
      </w:tblGrid>
      <w:tr>
        <w:trPr/>
        <w:tc>
          <w:tcPr>
            <w:tcW w:w="4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3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OKUR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OnKure Therapeutics, Inc. (the “Company”) amended and restated its 2024 Equity Incentive Plan (the “A&amp;R 2024 Plan”), effective as of June 3, 2026 upon approval by the stockholders of the Company at the Annual Meeting (as defined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amendments to the Company’s 2024 Equity Incentive Plan included (1) a one-time increase to the number of shares of common stock reserved for issuance by approximately 8% of the Company’s outstanding shares (3,231,638 shares), (2) an amendment to the annual “evergreen” provision to remove the annual limit of 2,407,100 shares (which, prior to the 1:10 reverse stock split effected on October 4, 2024, had been 24,071,000 shares), while maintaining the annual increase at 5% of the Company’s outstanding shares, and (3) limiting the number of shares that can be issued as incentive stock options under the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material terms of the A&amp;R 2024 Plan are described in “Proposal No. 3: Approval of the OnKure Therapeutics, Inc. Amended and Restated 2024 Equity Incentive Plan” in the Company’s definitive proxy statement on Schedule 14A filed with the United States Securities and Exchange Commission on April 21, 2026 (the “Proxy Statement”), which description is incorporated herein by reference.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foregoing description of the A&amp;R 2024 Plan is qualified in its entirety by reference to the text of the A&amp;R 2024 Plan, which is filed as Exhibit 10.1 to this Current Report on Form 8-K and incorporated herein by reference. </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5.07 Submission of Matters to a Vote of Security Holders.</w:t>
      </w:r>
    </w:p>
    <w:p>
      <w:pPr>
        <w:pStyle w:val="TextBody"/>
        <w:bidi w:val="0"/>
        <w:jc w:val="left"/>
        <w:rPr>
          <w:rFonts w:ascii="Times New Roman" w:hAnsi="Times New Roman"/>
          <w:color w:val="000000"/>
          <w:sz w:val="20"/>
        </w:rPr>
      </w:pPr>
      <w:r>
        <w:rPr>
          <w:rFonts w:ascii="Times New Roman" w:hAnsi="Times New Roman"/>
          <w:color w:val="000000"/>
          <w:sz w:val="20"/>
        </w:rPr>
        <w:t>On June 3, 2026, the Company held its 2026 Annual Meeting of Stockholders (the “Annual Meeting”). At the Annual Meeting, the Company’s stockholders voted on the three proposals set forth below. A more detailed description of each proposal is set forth in the Proxy Statement.</w:t>
      </w:r>
    </w:p>
    <w:p>
      <w:pPr>
        <w:pStyle w:val="TextBody"/>
        <w:bidi w:val="0"/>
        <w:jc w:val="left"/>
        <w:rPr>
          <w:rFonts w:ascii="Times New Roman" w:hAnsi="Times New Roman"/>
          <w:b/>
          <w:color w:val="000000"/>
          <w:sz w:val="20"/>
        </w:rPr>
      </w:pPr>
      <w:r>
        <w:rPr>
          <w:rFonts w:ascii="Times New Roman" w:hAnsi="Times New Roman"/>
          <w:b/>
          <w:color w:val="000000"/>
          <w:sz w:val="20"/>
        </w:rPr>
        <w:t>Proposal No. 1: Election of Directors</w:t>
      </w:r>
    </w:p>
    <w:p>
      <w:pPr>
        <w:pStyle w:val="TextBody"/>
        <w:bidi w:val="0"/>
        <w:jc w:val="left"/>
        <w:rPr>
          <w:rFonts w:ascii="Times New Roman" w:hAnsi="Times New Roman"/>
          <w:color w:val="000000"/>
          <w:sz w:val="20"/>
        </w:rPr>
      </w:pPr>
      <w:r>
        <w:rPr>
          <w:rFonts w:ascii="Times New Roman" w:hAnsi="Times New Roman"/>
          <w:color w:val="000000"/>
          <w:sz w:val="20"/>
        </w:rPr>
        <w:t xml:space="preserve">R. Michael Carruthers, Valerie M. Jansen, M.D., Ph.D. and Edward T. Mathers were each elected to serve as a Class II director of the Company’s Board of Directors until the 2029 Annual Meeting of Stockholders and until their respective successors are elected and qualified, by the following votes: </w:t>
      </w:r>
    </w:p>
    <w:tbl>
      <w:tblPr>
        <w:tblW w:w="6606" w:type="dxa"/>
        <w:jc w:val="left"/>
        <w:tblInd w:w="0" w:type="dxa"/>
        <w:tblLayout w:type="fixed"/>
        <w:tblCellMar>
          <w:top w:w="28" w:type="dxa"/>
          <w:left w:w="28" w:type="dxa"/>
          <w:bottom w:w="28" w:type="dxa"/>
          <w:right w:w="28" w:type="dxa"/>
        </w:tblCellMar>
      </w:tblPr>
      <w:tblGrid>
        <w:gridCol w:w="2581"/>
        <w:gridCol w:w="146"/>
        <w:gridCol w:w="1036"/>
        <w:gridCol w:w="146"/>
        <w:gridCol w:w="931"/>
        <w:gridCol w:w="146"/>
        <w:gridCol w:w="701"/>
        <w:gridCol w:w="919"/>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r>
      <w:tr>
        <w:trPr/>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1" w:type="dxa"/>
            <w:tcBorders/>
            <w:tcMar>
              <w:top w:w="0" w:type="dxa"/>
              <w:left w:w="0" w:type="dxa"/>
              <w:bottom w:w="0" w:type="dxa"/>
              <w:right w:w="0" w:type="dxa"/>
            </w:tcMar>
            <w:vAlign w:val="center"/>
          </w:tcPr>
          <w:p>
            <w:pPr>
              <w:pStyle w:val="TableContents"/>
              <w:bidi w:val="0"/>
              <w:spacing w:before="0" w:after="283"/>
              <w:jc w:val="left"/>
              <w:rPr/>
            </w:pPr>
            <w:r>
              <w:rPr/>
              <w:t> </w:t>
            </w:r>
          </w:p>
        </w:tc>
        <w:tc>
          <w:tcPr>
            <w:tcW w:w="91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tcMar>
              <w:top w:w="0" w:type="dxa"/>
              <w:left w:w="0" w:type="dxa"/>
              <w:bottom w:w="0" w:type="dxa"/>
              <w:right w:w="0" w:type="dxa"/>
            </w:tcMar>
            <w:vAlign w:val="center"/>
          </w:tcPr>
          <w:p>
            <w:pPr>
              <w:pStyle w:val="TableContents"/>
              <w:pBdr>
                <w:bottom w:val="single" w:sz="8" w:space="1" w:color="000000"/>
              </w:pBdr>
              <w:bidi w:val="0"/>
              <w:spacing w:before="0" w:after="283"/>
              <w:jc w:val="left"/>
              <w:rPr>
                <w:rFonts w:ascii="Times New Roman" w:hAnsi="Times New Roman"/>
                <w:color w:val="000000"/>
                <w:sz w:val="20"/>
              </w:rPr>
            </w:pPr>
            <w:r>
              <w:rPr>
                <w:rFonts w:ascii="Times New Roman" w:hAnsi="Times New Roman"/>
                <w:color w:val="000000"/>
                <w:sz w:val="20"/>
              </w:rPr>
              <w:t>Nominee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Withheld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Broker Non-Votes</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Michael Carruthers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19,776,757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147,236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5,466,123</w:t>
            </w:r>
          </w:p>
        </w:tc>
      </w:tr>
      <w:tr>
        <w:trPr/>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Valerie M. Jansen, M.D., Ph.D.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17,796,919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2,127,074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5,466,123</w:t>
            </w:r>
          </w:p>
        </w:tc>
      </w:tr>
      <w:tr>
        <w:trPr/>
        <w:tc>
          <w:tcPr>
            <w:tcW w:w="25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Edward T. Mathers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19,855,396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68,597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5,466,123</w:t>
            </w:r>
          </w:p>
        </w:tc>
      </w:tr>
    </w:tbl>
    <w:p>
      <w:pPr>
        <w:pStyle w:val="TextBody"/>
        <w:bidi w:val="0"/>
        <w:jc w:val="left"/>
        <w:rPr>
          <w:rFonts w:ascii="Times New Roman" w:hAnsi="Times New Roman"/>
          <w:b/>
          <w:color w:val="000000"/>
          <w:sz w:val="20"/>
        </w:rPr>
      </w:pPr>
      <w:r>
        <w:rPr>
          <w:rFonts w:ascii="Times New Roman" w:hAnsi="Times New Roman"/>
          <w:b/>
          <w:color w:val="000000"/>
          <w:sz w:val="20"/>
        </w:rPr>
        <w:t>Proposal No. 2: Ratification of the Selection of Independent Registered Public Accounting Firm</w:t>
      </w:r>
    </w:p>
    <w:p>
      <w:pPr>
        <w:pStyle w:val="TextBody"/>
        <w:bidi w:val="0"/>
        <w:jc w:val="left"/>
        <w:rPr>
          <w:rFonts w:ascii="Times New Roman" w:hAnsi="Times New Roman"/>
          <w:color w:val="000000"/>
          <w:sz w:val="20"/>
        </w:rPr>
      </w:pPr>
      <w:r>
        <w:rPr>
          <w:rFonts w:ascii="Times New Roman" w:hAnsi="Times New Roman"/>
          <w:color w:val="000000"/>
          <w:sz w:val="20"/>
        </w:rPr>
        <w:t xml:space="preserve">The stockholders ratified the selection of KPMG LLP as the Company’s independent registered public accounting firm for the fiscal year ending December 31, 2026, by the following votes: </w:t>
      </w:r>
    </w:p>
    <w:tbl>
      <w:tblPr>
        <w:tblW w:w="4987" w:type="dxa"/>
        <w:jc w:val="left"/>
        <w:tblInd w:w="0" w:type="dxa"/>
        <w:tblLayout w:type="fixed"/>
        <w:tblCellMar>
          <w:top w:w="28" w:type="dxa"/>
          <w:left w:w="28" w:type="dxa"/>
          <w:bottom w:w="28" w:type="dxa"/>
          <w:right w:w="28" w:type="dxa"/>
        </w:tblCellMar>
      </w:tblPr>
      <w:tblGrid>
        <w:gridCol w:w="1111"/>
        <w:gridCol w:w="146"/>
        <w:gridCol w:w="736"/>
        <w:gridCol w:w="146"/>
        <w:gridCol w:w="1081"/>
        <w:gridCol w:w="146"/>
        <w:gridCol w:w="162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1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Abstentions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Broker Non-Votes</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25,329,425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60,370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w:t>
            </w:r>
          </w:p>
        </w:tc>
      </w:tr>
      <w:tr>
        <w:trPr/>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Proposal No. 3: Approval of the Amended and Restated 2024 Equity Incentive Plan</w:t>
      </w:r>
    </w:p>
    <w:p>
      <w:pPr>
        <w:pStyle w:val="TextBody"/>
        <w:bidi w:val="0"/>
        <w:jc w:val="left"/>
        <w:rPr>
          <w:rFonts w:ascii="Times New Roman" w:hAnsi="Times New Roman"/>
          <w:color w:val="000000"/>
          <w:sz w:val="20"/>
        </w:rPr>
      </w:pPr>
      <w:r>
        <w:rPr>
          <w:rFonts w:ascii="Times New Roman" w:hAnsi="Times New Roman"/>
          <w:color w:val="000000"/>
          <w:sz w:val="20"/>
        </w:rPr>
        <w:t>The stockholders approved the amendment and restatement of the Company’s 2024 Equity Incentive Plan, by the following votes:</w:t>
      </w:r>
    </w:p>
    <w:p>
      <w:pPr>
        <w:pStyle w:val="TextBody"/>
        <w:bidi w:val="0"/>
        <w:jc w:val="left"/>
        <w:rPr/>
      </w:pPr>
      <w:r>
        <w:rPr/>
        <w:t> </w:t>
      </w:r>
    </w:p>
    <w:tbl>
      <w:tblPr>
        <w:tblW w:w="5242" w:type="dxa"/>
        <w:jc w:val="left"/>
        <w:tblInd w:w="0" w:type="dxa"/>
        <w:tblLayout w:type="fixed"/>
        <w:tblCellMar>
          <w:top w:w="28" w:type="dxa"/>
          <w:left w:w="28" w:type="dxa"/>
          <w:bottom w:w="28" w:type="dxa"/>
          <w:right w:w="28" w:type="dxa"/>
        </w:tblCellMar>
      </w:tblPr>
      <w:tblGrid>
        <w:gridCol w:w="1111"/>
        <w:gridCol w:w="146"/>
        <w:gridCol w:w="991"/>
        <w:gridCol w:w="146"/>
        <w:gridCol w:w="1081"/>
        <w:gridCol w:w="146"/>
        <w:gridCol w:w="162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r>
      <w:tr>
        <w:trPr/>
        <w:tc>
          <w:tcPr>
            <w:tcW w:w="11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Against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Abstentions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Broker Non-Votes</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16,431,575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3,490,523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1,895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5,466,123</w:t>
            </w:r>
          </w:p>
        </w:tc>
      </w:tr>
      <w:tr>
        <w:trPr/>
        <w:tc>
          <w:tcPr>
            <w:tcW w:w="11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tbl>
      <w:tblPr>
        <w:tblW w:w="7873" w:type="dxa"/>
        <w:jc w:val="left"/>
        <w:tblInd w:w="0" w:type="dxa"/>
        <w:tblLayout w:type="fixed"/>
        <w:tblCellMar>
          <w:top w:w="28" w:type="dxa"/>
          <w:left w:w="28" w:type="dxa"/>
          <w:bottom w:w="28" w:type="dxa"/>
          <w:right w:w="28" w:type="dxa"/>
        </w:tblCellMar>
      </w:tblPr>
      <w:tblGrid>
        <w:gridCol w:w="1081"/>
        <w:gridCol w:w="146"/>
        <w:gridCol w:w="6646"/>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jc w:val="left"/>
              <w:rPr/>
            </w:pPr>
            <w:hyperlink w:anchor="okur-ex10_1.htm">
              <w:r>
                <w:rPr>
                  <w:rStyle w:val="InternetLink"/>
                  <w:rFonts w:ascii="Times New Roman" w:hAnsi="Times New Roman"/>
                  <w:color w:val="0000FF"/>
                  <w:sz w:val="20"/>
                  <w:u w:val="single"/>
                </w:rPr>
                <w:t>Amended and Restated 2024 Equity Incentive Plan</w:t>
              </w:r>
            </w:hyperlink>
            <w:r>
              <w:rPr>
                <w:rFonts w:ascii="Times New Roman" w:hAnsi="Times New Roman"/>
                <w:color w:val="000000"/>
                <w:sz w:val="20"/>
              </w:rPr>
              <w:t>.</w:t>
            </w:r>
          </w:p>
          <w:p>
            <w:pPr>
              <w:pStyle w:val="TableContents"/>
              <w:bidi w:val="0"/>
              <w:spacing w:before="0" w:after="283"/>
              <w:jc w:val="left"/>
              <w:rPr/>
            </w:pPr>
            <w:r>
              <w:rPr/>
              <w:t> </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194" w:type="dxa"/>
        <w:jc w:val="left"/>
        <w:tblInd w:w="0" w:type="dxa"/>
        <w:tblLayout w:type="fixed"/>
        <w:tblCellMar>
          <w:top w:w="28" w:type="dxa"/>
          <w:left w:w="28" w:type="dxa"/>
          <w:bottom w:w="28" w:type="dxa"/>
          <w:right w:w="28" w:type="dxa"/>
        </w:tblCellMar>
      </w:tblPr>
      <w:tblGrid>
        <w:gridCol w:w="556"/>
        <w:gridCol w:w="1141"/>
        <w:gridCol w:w="451"/>
        <w:gridCol w:w="3046"/>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04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ONKURE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14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304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Jason Leverone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304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Name: Jason Leverone</w:t>
              <w:br/>
              <w:t>Title: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 w:name="okur-ex10_1.htm"/>
      <w:bookmarkStart w:id="3" w:name="ksokurex10_1"/>
      <w:bookmarkEnd w:id="2"/>
      <w:bookmarkEnd w:id="3"/>
      <w:r>
        <w:rPr>
          <w:rFonts w:ascii="Times New Roman" w:hAnsi="Times New Roman"/>
          <w:b/>
          <w:color w:val="000000"/>
          <w:sz w:val="24"/>
        </w:rPr>
        <w:t>EXHIBIT 10.1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ONKURE THERAPEUTICS, INC.</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2024 EQUITY INCENTIVE PLAN</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(as amended and restated)</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pPr>
      <w:r>
        <w:rPr>
          <w:rFonts w:ascii="Times New Roman" w:hAnsi="Times New Roman"/>
          <w:b/>
          <w:color w:val="000000"/>
          <w:sz w:val="24"/>
        </w:rPr>
        <w:t>Purposes of this Plan</w:t>
      </w:r>
      <w:r>
        <w:rPr>
          <w:rFonts w:ascii="Times New Roman" w:hAnsi="Times New Roman"/>
          <w:color w:val="000000"/>
          <w:sz w:val="24"/>
        </w:rPr>
        <w:t>. The purposes of this Plan are:</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attract and retain the best available personnel for positions of substantial responsibility,</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provide additional incentive to Employees, Directors and Consultants, and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promote the success of the Company’s business.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Plan permits the grant of Incentive Stock Options, Nonstatutory Stock Options, Stock Appreciation Rights, Restricted Stock, Restricted Stock Units and Performance Awards.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both"/>
        <w:rPr/>
      </w:pPr>
      <w:r>
        <w:rPr>
          <w:rFonts w:ascii="Times New Roman" w:hAnsi="Times New Roman"/>
          <w:b/>
          <w:color w:val="000000"/>
          <w:sz w:val="24"/>
        </w:rPr>
        <w:t>Definitions</w:t>
      </w:r>
      <w:r>
        <w:rPr>
          <w:rFonts w:ascii="Times New Roman" w:hAnsi="Times New Roman"/>
          <w:color w:val="000000"/>
          <w:sz w:val="24"/>
        </w:rPr>
        <w:t>. As used herein, the following definitions will apply: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color w:val="000000"/>
        </w:rPr>
        <w:t>“</w:t>
      </w:r>
      <w:r>
        <w:rPr>
          <w:rFonts w:ascii="Times New Roman" w:hAnsi="Times New Roman"/>
          <w:b/>
          <w:color w:val="000000"/>
          <w:sz w:val="24"/>
        </w:rPr>
        <w:t>Administrator</w:t>
      </w:r>
      <w:r>
        <w:rPr>
          <w:color w:val="000000"/>
        </w:rPr>
        <w:t xml:space="preserve">” </w:t>
      </w:r>
      <w:r>
        <w:rPr>
          <w:rFonts w:ascii="Times New Roman" w:hAnsi="Times New Roman"/>
          <w:color w:val="000000"/>
          <w:sz w:val="24"/>
        </w:rPr>
        <w:t>means the Board or any of its Committees as will be administering the Plan, in accordance with Section 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color w:val="000000"/>
        </w:rPr>
        <w:t>“</w:t>
      </w:r>
      <w:r>
        <w:rPr>
          <w:rFonts w:ascii="Times New Roman" w:hAnsi="Times New Roman"/>
          <w:b/>
          <w:color w:val="000000"/>
          <w:sz w:val="24"/>
        </w:rPr>
        <w:t>Applicable Laws</w:t>
      </w:r>
      <w:r>
        <w:rPr>
          <w:color w:val="000000"/>
        </w:rPr>
        <w:t xml:space="preserve">” </w:t>
      </w:r>
      <w:r>
        <w:rPr>
          <w:rFonts w:ascii="Times New Roman" w:hAnsi="Times New Roman"/>
          <w:color w:val="000000"/>
          <w:sz w:val="24"/>
        </w:rPr>
        <w:t>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color w:val="000000"/>
        </w:rPr>
        <w:t>“</w:t>
      </w:r>
      <w:r>
        <w:rPr>
          <w:rFonts w:ascii="Times New Roman" w:hAnsi="Times New Roman"/>
          <w:b/>
          <w:color w:val="000000"/>
          <w:sz w:val="24"/>
        </w:rPr>
        <w:t>Award</w:t>
      </w:r>
      <w:r>
        <w:rPr>
          <w:color w:val="000000"/>
        </w:rPr>
        <w:t xml:space="preserve">” </w:t>
      </w:r>
      <w:r>
        <w:rPr>
          <w:rFonts w:ascii="Times New Roman" w:hAnsi="Times New Roman"/>
          <w:color w:val="000000"/>
          <w:sz w:val="24"/>
        </w:rPr>
        <w:t>means, individually or collectively, a grant under the Plan of Options, Stock Appreciation Rights, Restricted Stock, Restricted Stock Units, or Performance Awards.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color w:val="000000"/>
        </w:rPr>
        <w:t>“</w:t>
      </w:r>
      <w:r>
        <w:rPr>
          <w:rFonts w:ascii="Times New Roman" w:hAnsi="Times New Roman"/>
          <w:b/>
          <w:color w:val="000000"/>
          <w:sz w:val="24"/>
        </w:rPr>
        <w:t>Award Agreement</w:t>
      </w:r>
      <w:r>
        <w:rPr>
          <w:color w:val="000000"/>
        </w:rPr>
        <w:t xml:space="preserve">” </w:t>
      </w:r>
      <w:r>
        <w:rPr>
          <w:rFonts w:ascii="Times New Roman" w:hAnsi="Times New Roman"/>
          <w:color w:val="000000"/>
          <w:sz w:val="24"/>
        </w:rPr>
        <w:t>means the written or electronic agreement setting forth the terms and conditions applicable to each Award granted under the Plan. The Award Agreement is subject to the terms and conditions of this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2.5</w:t>
      </w:r>
    </w:p>
    <w:p>
      <w:pPr>
        <w:pStyle w:val="TextBody"/>
        <w:bidi w:val="0"/>
        <w:spacing w:before="240" w:after="283"/>
        <w:jc w:val="both"/>
        <w:rPr/>
      </w:pPr>
      <w:r>
        <w:rPr>
          <w:color w:val="000000"/>
        </w:rPr>
        <w:t>“</w:t>
      </w:r>
      <w:r>
        <w:rPr>
          <w:rFonts w:ascii="Times New Roman" w:hAnsi="Times New Roman"/>
          <w:b/>
          <w:color w:val="000000"/>
          <w:sz w:val="24"/>
        </w:rPr>
        <w:t>Board</w:t>
      </w:r>
      <w:r>
        <w:rPr>
          <w:color w:val="000000"/>
        </w:rPr>
        <w:t xml:space="preserve">” </w:t>
      </w:r>
      <w:r>
        <w:rPr>
          <w:rFonts w:ascii="Times New Roman" w:hAnsi="Times New Roman"/>
          <w:color w:val="000000"/>
          <w:sz w:val="24"/>
        </w:rPr>
        <w:t>means the Board of Directors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2.6</w:t>
      </w:r>
    </w:p>
    <w:p>
      <w:pPr>
        <w:pStyle w:val="TextBody"/>
        <w:bidi w:val="0"/>
        <w:spacing w:before="240" w:after="283"/>
        <w:jc w:val="both"/>
        <w:rPr/>
      </w:pPr>
      <w:r>
        <w:rPr>
          <w:color w:val="000000"/>
        </w:rPr>
        <w:t>“</w:t>
      </w:r>
      <w:r>
        <w:rPr>
          <w:rFonts w:ascii="Times New Roman" w:hAnsi="Times New Roman"/>
          <w:b/>
          <w:color w:val="000000"/>
          <w:sz w:val="24"/>
        </w:rPr>
        <w:t>Change in Control</w:t>
      </w:r>
      <w:r>
        <w:rPr>
          <w:color w:val="000000"/>
        </w:rPr>
        <w:t xml:space="preserve">” </w:t>
      </w:r>
      <w:r>
        <w:rPr>
          <w:rFonts w:ascii="Times New Roman" w:hAnsi="Times New Roman"/>
          <w:color w:val="000000"/>
          <w:sz w:val="24"/>
        </w:rPr>
        <w:t>means the occurrence of any of the following events: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b/>
          <w:color w:val="000000"/>
          <w:sz w:val="24"/>
        </w:rPr>
        <w:t>Change in Ownership of the Company</w:t>
      </w:r>
      <w:r>
        <w:rPr>
          <w:rFonts w:ascii="Times New Roman" w:hAnsi="Times New Roman"/>
          <w:color w:val="000000"/>
          <w:sz w:val="24"/>
        </w:rPr>
        <w:t>. A change in the ownership of the Company</w:t>
      </w:r>
      <w:r>
        <w:rPr>
          <w:color w:val="000000"/>
        </w:rPr>
        <w:t xml:space="preserve"> </w:t>
      </w:r>
      <w:r>
        <w:rPr>
          <w:rFonts w:ascii="Times New Roman" w:hAnsi="Times New Roman"/>
          <w:color w:val="000000"/>
          <w:sz w:val="24"/>
        </w:rPr>
        <w:t>which occurs on the date that any one person, or more than one person acting as a group (“</w:t>
      </w:r>
      <w:r>
        <w:rPr>
          <w:rFonts w:ascii="Times New Roman" w:hAnsi="Times New Roman"/>
          <w:b/>
          <w:color w:val="000000"/>
          <w:sz w:val="24"/>
        </w:rPr>
        <w:t>Person</w:t>
      </w:r>
      <w:r>
        <w:rPr>
          <w:color w:val="000000"/>
        </w:rPr>
        <w:t>”</w:t>
      </w:r>
      <w:r>
        <w:rPr>
          <w:rFonts w:ascii="Times New Roman" w:hAnsi="Times New Roman"/>
          <w:color w:val="000000"/>
          <w:sz w:val="24"/>
        </w:rPr>
        <w:t xml:space="preserve">),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prior to such additional acquisition, will not be considered 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Change in Control; provided, further, that any change in the ownership of the stock of the Company as a result of a capital raising transaction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b/>
          <w:color w:val="000000"/>
          <w:sz w:val="24"/>
        </w:rPr>
        <w:t>Change in Effective Control of the Company</w:t>
      </w:r>
      <w:r>
        <w:rPr>
          <w:rFonts w:ascii="Times New Roman" w:hAnsi="Times New Roman"/>
          <w:color w:val="000000"/>
          <w:sz w:val="24"/>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pPr>
      <w:r>
        <w:rPr>
          <w:rFonts w:ascii="Times New Roman" w:hAnsi="Times New Roman"/>
          <w:b/>
          <w:color w:val="000000"/>
          <w:sz w:val="24"/>
        </w:rPr>
        <w:t>Change in Ownership of a Substantial Portion of the Company’s Assets</w:t>
      </w:r>
      <w:r>
        <w:rPr>
          <w:rFonts w:ascii="Times New Roman" w:hAnsi="Times New Roman"/>
          <w:color w:val="000000"/>
          <w:sz w:val="24"/>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 the foregoing, a transaction will not be deemed a Change in Control unless the transaction qualifies as a change in control event within the meaning of Section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409A. Further, and notwithstanding the foregoing, neither the consummation of the First Merger nor the Second Merger (as defined in the Merger Agreement), whether alone or in combination, will constitute a Change in Control for purposes of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Further and for purposes of clarity, a transaction will not constitute a Change in Control if: (x) its primary purpose is to change the jurisdiction of the Company’s incorporation, or (y) its primary purpose is to create a holding company that will be owned in substantially the same proportions by the persons who held the Company’s securities immediately before such transaction.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2.7</w:t>
      </w:r>
    </w:p>
    <w:p>
      <w:pPr>
        <w:pStyle w:val="TextBody"/>
        <w:bidi w:val="0"/>
        <w:spacing w:before="240" w:after="283"/>
        <w:jc w:val="both"/>
        <w:rPr/>
      </w:pPr>
      <w:r>
        <w:rPr>
          <w:color w:val="000000"/>
        </w:rPr>
        <w:t>“</w:t>
      </w:r>
      <w:r>
        <w:rPr>
          <w:rFonts w:ascii="Times New Roman" w:hAnsi="Times New Roman"/>
          <w:b/>
          <w:color w:val="000000"/>
          <w:sz w:val="24"/>
        </w:rPr>
        <w:t>Code</w:t>
      </w:r>
      <w:r>
        <w:rPr>
          <w:color w:val="000000"/>
        </w:rPr>
        <w:t xml:space="preserve">” </w:t>
      </w:r>
      <w:r>
        <w:rPr>
          <w:rFonts w:ascii="Times New Roman" w:hAnsi="Times New Roman"/>
          <w:color w:val="000000"/>
          <w:sz w:val="24"/>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2.8</w:t>
      </w:r>
    </w:p>
    <w:p>
      <w:pPr>
        <w:pStyle w:val="TextBody"/>
        <w:bidi w:val="0"/>
        <w:spacing w:before="240" w:after="283"/>
        <w:jc w:val="both"/>
        <w:rPr/>
      </w:pPr>
      <w:r>
        <w:rPr>
          <w:color w:val="000000"/>
        </w:rPr>
        <w:t>“</w:t>
      </w:r>
      <w:r>
        <w:rPr>
          <w:rFonts w:ascii="Times New Roman" w:hAnsi="Times New Roman"/>
          <w:b/>
          <w:color w:val="000000"/>
          <w:sz w:val="24"/>
        </w:rPr>
        <w:t>Committee</w:t>
      </w:r>
      <w:r>
        <w:rPr>
          <w:color w:val="000000"/>
        </w:rPr>
        <w:t xml:space="preserve">” </w:t>
      </w:r>
      <w:r>
        <w:rPr>
          <w:rFonts w:ascii="Times New Roman" w:hAnsi="Times New Roman"/>
          <w:color w:val="000000"/>
          <w:sz w:val="24"/>
        </w:rPr>
        <w:t>means a committee of Directors or of other individuals satisfying Applicable Laws appointed by the Board, or by a duly authorized committee of the Board, in accordance with Section 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2.9</w:t>
      </w:r>
    </w:p>
    <w:p>
      <w:pPr>
        <w:pStyle w:val="TextBody"/>
        <w:bidi w:val="0"/>
        <w:spacing w:before="240" w:after="283"/>
        <w:jc w:val="both"/>
        <w:rPr/>
      </w:pPr>
      <w:r>
        <w:rPr>
          <w:color w:val="000000"/>
        </w:rPr>
        <w:t>“</w:t>
      </w:r>
      <w:r>
        <w:rPr>
          <w:rFonts w:ascii="Times New Roman" w:hAnsi="Times New Roman"/>
          <w:b/>
          <w:color w:val="000000"/>
          <w:sz w:val="24"/>
        </w:rPr>
        <w:t>Common Stock</w:t>
      </w:r>
      <w:r>
        <w:rPr>
          <w:color w:val="000000"/>
        </w:rPr>
        <w:t xml:space="preserve">” </w:t>
      </w:r>
      <w:r>
        <w:rPr>
          <w:rFonts w:ascii="Times New Roman" w:hAnsi="Times New Roman"/>
          <w:color w:val="000000"/>
          <w:sz w:val="24"/>
        </w:rPr>
        <w:t>means the Class A common stock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2.10</w:t>
      </w:r>
    </w:p>
    <w:p>
      <w:pPr>
        <w:pStyle w:val="TextBody"/>
        <w:bidi w:val="0"/>
        <w:spacing w:before="240" w:after="283"/>
        <w:jc w:val="both"/>
        <w:rPr/>
      </w:pPr>
      <w:r>
        <w:rPr>
          <w:color w:val="000000"/>
        </w:rPr>
        <w:t>“</w:t>
      </w:r>
      <w:r>
        <w:rPr>
          <w:rFonts w:ascii="Times New Roman" w:hAnsi="Times New Roman"/>
          <w:b/>
          <w:color w:val="000000"/>
          <w:sz w:val="24"/>
        </w:rPr>
        <w:t>Company</w:t>
      </w:r>
      <w:r>
        <w:rPr>
          <w:color w:val="000000"/>
        </w:rPr>
        <w:t xml:space="preserve">” </w:t>
      </w:r>
      <w:r>
        <w:rPr>
          <w:rFonts w:ascii="Times New Roman" w:hAnsi="Times New Roman"/>
          <w:color w:val="000000"/>
          <w:sz w:val="24"/>
        </w:rPr>
        <w:t>means OnKure Therapeutics, Inc., a</w:t>
      </w:r>
      <w:r>
        <w:rPr>
          <w:color w:val="000000"/>
        </w:rPr>
        <w:t xml:space="preserve"> </w:t>
      </w:r>
      <w:r>
        <w:rPr>
          <w:rFonts w:ascii="Times New Roman" w:hAnsi="Times New Roman"/>
          <w:color w:val="000000"/>
          <w:sz w:val="24"/>
        </w:rPr>
        <w:t>Delaware corporation.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2.11</w:t>
      </w:r>
    </w:p>
    <w:p>
      <w:pPr>
        <w:pStyle w:val="TextBody"/>
        <w:bidi w:val="0"/>
        <w:spacing w:before="240" w:after="283"/>
        <w:jc w:val="both"/>
        <w:rPr/>
      </w:pPr>
      <w:r>
        <w:rPr>
          <w:color w:val="000000"/>
        </w:rPr>
        <w:t>“</w:t>
      </w:r>
      <w:r>
        <w:rPr>
          <w:rFonts w:ascii="Times New Roman" w:hAnsi="Times New Roman"/>
          <w:b/>
          <w:color w:val="000000"/>
          <w:sz w:val="24"/>
        </w:rPr>
        <w:t>Consultant</w:t>
      </w:r>
      <w:r>
        <w:rPr>
          <w:color w:val="000000"/>
        </w:rPr>
        <w:t xml:space="preserve">” </w:t>
      </w:r>
      <w:r>
        <w:rPr>
          <w:rFonts w:ascii="Times New Roman" w:hAnsi="Times New Roman"/>
          <w:color w:val="000000"/>
          <w:sz w:val="24"/>
        </w:rPr>
        <w:t xml:space="preserve">means any natural person, including an advisor, engaged by the Company or any of its Parents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2.12</w:t>
      </w:r>
    </w:p>
    <w:p>
      <w:pPr>
        <w:pStyle w:val="TextBody"/>
        <w:bidi w:val="0"/>
        <w:spacing w:before="240" w:after="283"/>
        <w:jc w:val="both"/>
        <w:rPr/>
      </w:pPr>
      <w:r>
        <w:rPr>
          <w:color w:val="000000"/>
        </w:rPr>
        <w:t>“</w:t>
      </w:r>
      <w:r>
        <w:rPr>
          <w:rFonts w:ascii="Times New Roman" w:hAnsi="Times New Roman"/>
          <w:b/>
          <w:color w:val="000000"/>
          <w:sz w:val="24"/>
        </w:rPr>
        <w:t>Director</w:t>
      </w:r>
      <w:r>
        <w:rPr>
          <w:color w:val="000000"/>
        </w:rPr>
        <w:t xml:space="preserve">” </w:t>
      </w:r>
      <w:r>
        <w:rPr>
          <w:rFonts w:ascii="Times New Roman" w:hAnsi="Times New Roman"/>
          <w:color w:val="000000"/>
          <w:sz w:val="24"/>
        </w:rPr>
        <w:t>means a member of the Board.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2.13</w:t>
      </w:r>
    </w:p>
    <w:p>
      <w:pPr>
        <w:pStyle w:val="TextBody"/>
        <w:bidi w:val="0"/>
        <w:spacing w:before="240" w:after="283"/>
        <w:jc w:val="both"/>
        <w:rPr/>
      </w:pPr>
      <w:r>
        <w:rPr>
          <w:color w:val="000000"/>
        </w:rPr>
        <w:t>“</w:t>
      </w:r>
      <w:r>
        <w:rPr>
          <w:rFonts w:ascii="Times New Roman" w:hAnsi="Times New Roman"/>
          <w:b/>
          <w:color w:val="000000"/>
          <w:sz w:val="24"/>
        </w:rPr>
        <w:t>Disability</w:t>
      </w:r>
      <w:r>
        <w:rPr>
          <w:color w:val="000000"/>
        </w:rPr>
        <w:t xml:space="preserve">” </w:t>
      </w:r>
      <w:r>
        <w:rPr>
          <w:rFonts w:ascii="Times New Roman" w:hAnsi="Times New Roman"/>
          <w:color w:val="000000"/>
          <w:sz w:val="24"/>
        </w:rPr>
        <w:t xml:space="preserve">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2.14</w:t>
      </w:r>
    </w:p>
    <w:p>
      <w:pPr>
        <w:pStyle w:val="TextBody"/>
        <w:bidi w:val="0"/>
        <w:spacing w:before="240" w:after="283"/>
        <w:jc w:val="both"/>
        <w:rPr/>
      </w:pPr>
      <w:r>
        <w:rPr>
          <w:color w:val="000000"/>
        </w:rPr>
        <w:t>“</w:t>
      </w:r>
      <w:r>
        <w:rPr>
          <w:rFonts w:ascii="Times New Roman" w:hAnsi="Times New Roman"/>
          <w:b/>
          <w:color w:val="000000"/>
          <w:sz w:val="24"/>
        </w:rPr>
        <w:t>Effective Time</w:t>
      </w:r>
      <w:r>
        <w:rPr>
          <w:color w:val="000000"/>
        </w:rPr>
        <w:t xml:space="preserve">” </w:t>
      </w:r>
      <w:r>
        <w:rPr>
          <w:rFonts w:ascii="Times New Roman" w:hAnsi="Times New Roman"/>
          <w:color w:val="000000"/>
          <w:sz w:val="24"/>
        </w:rPr>
        <w:t>means the First Effective Time (as defined in the Merger Agreement, and which generally refers to the effectiveness of the First Merger, as defined in the Merger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2.15</w:t>
      </w:r>
    </w:p>
    <w:p>
      <w:pPr>
        <w:pStyle w:val="TextBody"/>
        <w:bidi w:val="0"/>
        <w:spacing w:before="240" w:after="283"/>
        <w:jc w:val="both"/>
        <w:rPr/>
      </w:pPr>
      <w:r>
        <w:rPr>
          <w:color w:val="000000"/>
        </w:rPr>
        <w:t>“</w:t>
      </w:r>
      <w:r>
        <w:rPr>
          <w:rFonts w:ascii="Times New Roman" w:hAnsi="Times New Roman"/>
          <w:b/>
          <w:color w:val="000000"/>
          <w:sz w:val="24"/>
        </w:rPr>
        <w:t>Employee</w:t>
      </w:r>
      <w:r>
        <w:rPr>
          <w:color w:val="000000"/>
        </w:rPr>
        <w:t xml:space="preserve">” </w:t>
      </w:r>
      <w:r>
        <w:rPr>
          <w:rFonts w:ascii="Times New Roman" w:hAnsi="Times New Roman"/>
          <w:color w:val="000000"/>
          <w:sz w:val="24"/>
        </w:rPr>
        <w:t>means any person, including Officers and Inside Directors, employed by the Company or any Parent or Subsidiary of the Company. Neither service as a Director nor payment of a Director’s fee by the Company will be sufficient to constitute “employment” by the Company.</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2.16</w:t>
      </w:r>
    </w:p>
    <w:p>
      <w:pPr>
        <w:pStyle w:val="TextBody"/>
        <w:bidi w:val="0"/>
        <w:spacing w:before="240" w:after="283"/>
        <w:jc w:val="both"/>
        <w:rPr/>
      </w:pPr>
      <w:r>
        <w:rPr>
          <w:color w:val="000000"/>
        </w:rPr>
        <w:t>“</w:t>
      </w:r>
      <w:r>
        <w:rPr>
          <w:rFonts w:ascii="Times New Roman" w:hAnsi="Times New Roman"/>
          <w:b/>
          <w:color w:val="000000"/>
          <w:sz w:val="24"/>
        </w:rPr>
        <w:t>Exchange Act</w:t>
      </w:r>
      <w:r>
        <w:rPr>
          <w:color w:val="000000"/>
        </w:rPr>
        <w:t xml:space="preserve">” </w:t>
      </w:r>
      <w:r>
        <w:rPr>
          <w:rFonts w:ascii="Times New Roman" w:hAnsi="Times New Roman"/>
          <w:color w:val="000000"/>
          <w:sz w:val="24"/>
        </w:rPr>
        <w:t>means the U.S. Securities Exchange Act of 1934, as amended, including the rules and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2.17</w:t>
      </w:r>
    </w:p>
    <w:p>
      <w:pPr>
        <w:pStyle w:val="TextBody"/>
        <w:bidi w:val="0"/>
        <w:spacing w:before="240" w:after="283"/>
        <w:jc w:val="both"/>
        <w:rPr/>
      </w:pPr>
      <w:r>
        <w:rPr>
          <w:color w:val="000000"/>
        </w:rPr>
        <w:t>“</w:t>
      </w:r>
      <w:r>
        <w:rPr>
          <w:rFonts w:ascii="Times New Roman" w:hAnsi="Times New Roman"/>
          <w:b/>
          <w:color w:val="000000"/>
          <w:sz w:val="24"/>
        </w:rPr>
        <w:t>Exchange Program</w:t>
      </w:r>
      <w:r>
        <w:rPr>
          <w:color w:val="000000"/>
        </w:rPr>
        <w:t xml:space="preserve">” </w:t>
      </w:r>
      <w:r>
        <w:rPr>
          <w:rFonts w:ascii="Times New Roman" w:hAnsi="Times New Roman"/>
          <w:color w:val="000000"/>
          <w:sz w:val="24"/>
        </w:rPr>
        <w:t>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2.18</w:t>
      </w:r>
    </w:p>
    <w:p>
      <w:pPr>
        <w:pStyle w:val="TextBody"/>
        <w:bidi w:val="0"/>
        <w:spacing w:before="240" w:after="283"/>
        <w:jc w:val="both"/>
        <w:rPr/>
      </w:pPr>
      <w:r>
        <w:rPr>
          <w:color w:val="000000"/>
        </w:rPr>
        <w:t>“</w:t>
      </w:r>
      <w:r>
        <w:rPr>
          <w:rFonts w:ascii="Times New Roman" w:hAnsi="Times New Roman"/>
          <w:b/>
          <w:color w:val="000000"/>
          <w:sz w:val="24"/>
        </w:rPr>
        <w:t>Fair Market Value</w:t>
      </w:r>
      <w:r>
        <w:rPr>
          <w:color w:val="000000"/>
        </w:rPr>
        <w:t xml:space="preserve">” </w:t>
      </w:r>
      <w:r>
        <w:rPr>
          <w:rFonts w:ascii="Times New Roman" w:hAnsi="Times New Roman"/>
          <w:color w:val="000000"/>
          <w:sz w:val="24"/>
        </w:rPr>
        <w:t>means, as of any date and unless the Administrator determines otherwise, the value of a Share determined as follows: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pPr>
      <w:r>
        <w:rPr>
          <w:rFonts w:ascii="Times New Roman" w:hAnsi="Times New Roman"/>
          <w:color w:val="000000"/>
          <w:sz w:val="24"/>
        </w:rPr>
        <w:t xml:space="preserve">If the Common Stock is regularly quoted by a recognized securities dealer but selling prices are not reported, the Fair Market Value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 w:hAnsi="Times New Roman"/>
          <w:i/>
          <w:color w:val="000000"/>
          <w:sz w:val="24"/>
        </w:rPr>
        <w:t>The Wall Street Journal</w:t>
      </w:r>
      <w:r>
        <w:rPr>
          <w:color w:val="000000"/>
        </w:rPr>
        <w:t xml:space="preserve"> </w:t>
      </w:r>
      <w:r>
        <w:rPr>
          <w:rFonts w:ascii="Times New Roman" w:hAnsi="Times New Roman"/>
          <w:color w:val="000000"/>
          <w:sz w:val="24"/>
        </w:rPr>
        <w:t>or such other source as the Administrator deems reliable;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In the absence of an established market for the Common Stock, the Fair Market Value will be determined in good faith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for purposes of determining the fair market value of any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2.19</w:t>
      </w:r>
    </w:p>
    <w:p>
      <w:pPr>
        <w:pStyle w:val="TextBody"/>
        <w:bidi w:val="0"/>
        <w:spacing w:before="240" w:after="283"/>
        <w:jc w:val="both"/>
        <w:rPr/>
      </w:pPr>
      <w:r>
        <w:rPr>
          <w:color w:val="000000"/>
        </w:rPr>
        <w:t>“</w:t>
      </w:r>
      <w:r>
        <w:rPr>
          <w:rFonts w:ascii="Times New Roman" w:hAnsi="Times New Roman"/>
          <w:b/>
          <w:color w:val="000000"/>
          <w:sz w:val="24"/>
        </w:rPr>
        <w:t>First Merger</w:t>
      </w:r>
      <w:r>
        <w:rPr>
          <w:color w:val="000000"/>
        </w:rPr>
        <w:t xml:space="preserve">” </w:t>
      </w:r>
      <w:r>
        <w:rPr>
          <w:rFonts w:ascii="Times New Roman" w:hAnsi="Times New Roman"/>
          <w:color w:val="000000"/>
          <w:sz w:val="24"/>
        </w:rPr>
        <w:t>has the definition ascribed thereto in the Merger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2.20</w:t>
      </w:r>
    </w:p>
    <w:p>
      <w:pPr>
        <w:pStyle w:val="TextBody"/>
        <w:bidi w:val="0"/>
        <w:spacing w:before="240" w:after="283"/>
        <w:jc w:val="both"/>
        <w:rPr/>
      </w:pPr>
      <w:r>
        <w:rPr>
          <w:color w:val="000000"/>
        </w:rPr>
        <w:t>“</w:t>
      </w:r>
      <w:r>
        <w:rPr>
          <w:rFonts w:ascii="Times New Roman" w:hAnsi="Times New Roman"/>
          <w:b/>
          <w:color w:val="000000"/>
          <w:sz w:val="24"/>
        </w:rPr>
        <w:t>Fiscal Year</w:t>
      </w:r>
      <w:r>
        <w:rPr>
          <w:color w:val="000000"/>
        </w:rPr>
        <w:t xml:space="preserve">” </w:t>
      </w:r>
      <w:r>
        <w:rPr>
          <w:rFonts w:ascii="Times New Roman" w:hAnsi="Times New Roman"/>
          <w:color w:val="000000"/>
          <w:sz w:val="24"/>
        </w:rPr>
        <w:t>means the fiscal year of the Company.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2.21</w:t>
      </w:r>
    </w:p>
    <w:p>
      <w:pPr>
        <w:pStyle w:val="TextBody"/>
        <w:bidi w:val="0"/>
        <w:spacing w:before="240" w:after="283"/>
        <w:jc w:val="both"/>
        <w:rPr/>
      </w:pPr>
      <w:r>
        <w:rPr>
          <w:color w:val="000000"/>
        </w:rPr>
        <w:t>“</w:t>
      </w:r>
      <w:r>
        <w:rPr>
          <w:rFonts w:ascii="Times New Roman" w:hAnsi="Times New Roman"/>
          <w:b/>
          <w:color w:val="000000"/>
          <w:sz w:val="24"/>
        </w:rPr>
        <w:t>Incentive Stock Option</w:t>
      </w:r>
      <w:r>
        <w:rPr>
          <w:color w:val="000000"/>
        </w:rPr>
        <w:t xml:space="preserve">” </w:t>
      </w:r>
      <w:r>
        <w:rPr>
          <w:rFonts w:ascii="Times New Roman" w:hAnsi="Times New Roman"/>
          <w:color w:val="000000"/>
          <w:sz w:val="24"/>
        </w:rPr>
        <w:t>means an Option that by its terms qualifies and is otherwise intended to qualify as an incentive stock option within the meaning of Code Section 422 and the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2.22</w:t>
      </w:r>
    </w:p>
    <w:p>
      <w:pPr>
        <w:pStyle w:val="TextBody"/>
        <w:bidi w:val="0"/>
        <w:spacing w:before="240" w:after="283"/>
        <w:jc w:val="both"/>
        <w:rPr/>
      </w:pPr>
      <w:r>
        <w:rPr>
          <w:color w:val="000000"/>
        </w:rPr>
        <w:t>“</w:t>
      </w:r>
      <w:r>
        <w:rPr>
          <w:rFonts w:ascii="Times New Roman" w:hAnsi="Times New Roman"/>
          <w:b/>
          <w:color w:val="000000"/>
          <w:sz w:val="24"/>
        </w:rPr>
        <w:t>Inside Director</w:t>
      </w:r>
      <w:r>
        <w:rPr>
          <w:color w:val="000000"/>
        </w:rPr>
        <w:t xml:space="preserve">” </w:t>
      </w:r>
      <w:r>
        <w:rPr>
          <w:rFonts w:ascii="Times New Roman" w:hAnsi="Times New Roman"/>
          <w:color w:val="000000"/>
          <w:sz w:val="24"/>
        </w:rPr>
        <w:t xml:space="preserve">means a Director who is an Employee.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2.23</w:t>
      </w:r>
    </w:p>
    <w:p>
      <w:pPr>
        <w:pStyle w:val="TextBody"/>
        <w:bidi w:val="0"/>
        <w:spacing w:before="240" w:after="283"/>
        <w:jc w:val="both"/>
        <w:rPr/>
      </w:pPr>
      <w:r>
        <w:rPr>
          <w:color w:val="000000"/>
        </w:rPr>
        <w:t>“</w:t>
      </w:r>
      <w:r>
        <w:rPr>
          <w:rFonts w:ascii="Times New Roman" w:hAnsi="Times New Roman"/>
          <w:b/>
          <w:color w:val="000000"/>
          <w:sz w:val="24"/>
        </w:rPr>
        <w:t>Merger Agreement</w:t>
      </w:r>
      <w:r>
        <w:rPr>
          <w:color w:val="000000"/>
        </w:rPr>
        <w:t xml:space="preserve">” </w:t>
      </w:r>
      <w:r>
        <w:rPr>
          <w:rFonts w:ascii="Times New Roman" w:hAnsi="Times New Roman"/>
          <w:color w:val="000000"/>
          <w:sz w:val="24"/>
        </w:rPr>
        <w:t>means that certain Agreement and Plan of Merger dated May 10, 2024, among the Company, OnKure, Inc., and the other parties thereto, as may be amended from time to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2.24</w:t>
      </w:r>
    </w:p>
    <w:p>
      <w:pPr>
        <w:pStyle w:val="TextBody"/>
        <w:bidi w:val="0"/>
        <w:spacing w:before="240" w:after="283"/>
        <w:jc w:val="both"/>
        <w:rPr/>
      </w:pPr>
      <w:r>
        <w:rPr>
          <w:color w:val="000000"/>
        </w:rPr>
        <w:t>“</w:t>
      </w:r>
      <w:r>
        <w:rPr>
          <w:rFonts w:ascii="Times New Roman" w:hAnsi="Times New Roman"/>
          <w:b/>
          <w:color w:val="000000"/>
          <w:sz w:val="24"/>
        </w:rPr>
        <w:t>Mergers</w:t>
      </w:r>
      <w:r>
        <w:rPr>
          <w:color w:val="000000"/>
        </w:rPr>
        <w:t xml:space="preserve">” </w:t>
      </w:r>
      <w:r>
        <w:rPr>
          <w:rFonts w:ascii="Times New Roman" w:hAnsi="Times New Roman"/>
          <w:color w:val="000000"/>
          <w:sz w:val="24"/>
        </w:rPr>
        <w:t xml:space="preserve">has the definition ascribed thereto in the Merger Agreement.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2.25</w:t>
      </w:r>
    </w:p>
    <w:p>
      <w:pPr>
        <w:pStyle w:val="TextBody"/>
        <w:bidi w:val="0"/>
        <w:spacing w:before="240" w:after="283"/>
        <w:jc w:val="both"/>
        <w:rPr/>
      </w:pPr>
      <w:r>
        <w:rPr>
          <w:color w:val="000000"/>
        </w:rPr>
        <w:t>“</w:t>
      </w:r>
      <w:r>
        <w:rPr>
          <w:rFonts w:ascii="Times New Roman" w:hAnsi="Times New Roman"/>
          <w:b/>
          <w:color w:val="000000"/>
          <w:sz w:val="24"/>
        </w:rPr>
        <w:t>Nonstatutory Stock Option</w:t>
      </w:r>
      <w:r>
        <w:rPr>
          <w:color w:val="000000"/>
        </w:rPr>
        <w:t xml:space="preserve">” </w:t>
      </w:r>
      <w:r>
        <w:rPr>
          <w:rFonts w:ascii="Times New Roman" w:hAnsi="Times New Roman"/>
          <w:color w:val="000000"/>
          <w:sz w:val="24"/>
        </w:rPr>
        <w:t>means an Option that by its terms does not qualify or is not intended to qualify as an Incentive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2.26</w:t>
      </w:r>
    </w:p>
    <w:p>
      <w:pPr>
        <w:pStyle w:val="TextBody"/>
        <w:bidi w:val="0"/>
        <w:spacing w:before="240" w:after="283"/>
        <w:jc w:val="both"/>
        <w:rPr/>
      </w:pPr>
      <w:r>
        <w:rPr>
          <w:color w:val="000000"/>
        </w:rPr>
        <w:t>“</w:t>
      </w:r>
      <w:r>
        <w:rPr>
          <w:rFonts w:ascii="Times New Roman" w:hAnsi="Times New Roman"/>
          <w:b/>
          <w:color w:val="000000"/>
          <w:sz w:val="24"/>
        </w:rPr>
        <w:t>Officer</w:t>
      </w:r>
      <w:r>
        <w:rPr>
          <w:color w:val="000000"/>
        </w:rPr>
        <w:t xml:space="preserve">” </w:t>
      </w:r>
      <w:r>
        <w:rPr>
          <w:rFonts w:ascii="Times New Roman" w:hAnsi="Times New Roman"/>
          <w:color w:val="000000"/>
          <w:sz w:val="24"/>
        </w:rPr>
        <w:t xml:space="preserve">means a person who is an officer of the Company within the meaning of Section 16 of the Exchange Act and the rules and regulations promulgated thereunder.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2.27</w:t>
      </w:r>
    </w:p>
    <w:p>
      <w:pPr>
        <w:pStyle w:val="TextBody"/>
        <w:bidi w:val="0"/>
        <w:spacing w:before="240" w:after="283"/>
        <w:jc w:val="both"/>
        <w:rPr/>
      </w:pPr>
      <w:r>
        <w:rPr>
          <w:color w:val="000000"/>
        </w:rPr>
        <w:t>“</w:t>
      </w:r>
      <w:r>
        <w:rPr>
          <w:rFonts w:ascii="Times New Roman" w:hAnsi="Times New Roman"/>
          <w:b/>
          <w:color w:val="000000"/>
          <w:sz w:val="24"/>
        </w:rPr>
        <w:t>Option</w:t>
      </w:r>
      <w:r>
        <w:rPr>
          <w:color w:val="000000"/>
        </w:rPr>
        <w:t xml:space="preserve">” </w:t>
      </w:r>
      <w:r>
        <w:rPr>
          <w:rFonts w:ascii="Times New Roman" w:hAnsi="Times New Roman"/>
          <w:color w:val="000000"/>
          <w:sz w:val="24"/>
        </w:rPr>
        <w:t>means a stock option granted pursuant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2.28</w:t>
      </w:r>
    </w:p>
    <w:p>
      <w:pPr>
        <w:pStyle w:val="TextBody"/>
        <w:bidi w:val="0"/>
        <w:spacing w:before="240" w:after="283"/>
        <w:jc w:val="both"/>
        <w:rPr/>
      </w:pPr>
      <w:r>
        <w:rPr>
          <w:color w:val="000000"/>
        </w:rPr>
        <w:t>“</w:t>
      </w:r>
      <w:r>
        <w:rPr>
          <w:rFonts w:ascii="Times New Roman" w:hAnsi="Times New Roman"/>
          <w:b/>
          <w:color w:val="000000"/>
          <w:sz w:val="24"/>
        </w:rPr>
        <w:t>Outside Director</w:t>
      </w:r>
      <w:r>
        <w:rPr>
          <w:color w:val="000000"/>
        </w:rPr>
        <w:t xml:space="preserve">” </w:t>
      </w:r>
      <w:r>
        <w:rPr>
          <w:rFonts w:ascii="Times New Roman" w:hAnsi="Times New Roman"/>
          <w:color w:val="000000"/>
          <w:sz w:val="24"/>
        </w:rPr>
        <w:t>means a Director who is not an Employee.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2.29</w:t>
      </w:r>
    </w:p>
    <w:p>
      <w:pPr>
        <w:pStyle w:val="TextBody"/>
        <w:bidi w:val="0"/>
        <w:spacing w:before="240" w:after="283"/>
        <w:jc w:val="both"/>
        <w:rPr/>
      </w:pPr>
      <w:r>
        <w:rPr>
          <w:color w:val="000000"/>
        </w:rPr>
        <w:t>“</w:t>
      </w:r>
      <w:r>
        <w:rPr>
          <w:rFonts w:ascii="Times New Roman" w:hAnsi="Times New Roman"/>
          <w:b/>
          <w:color w:val="000000"/>
          <w:sz w:val="24"/>
        </w:rPr>
        <w:t>Parent</w:t>
      </w:r>
      <w:r>
        <w:rPr>
          <w:color w:val="000000"/>
        </w:rPr>
        <w:t xml:space="preserve">” </w:t>
      </w:r>
      <w:r>
        <w:rPr>
          <w:rFonts w:ascii="Times New Roman" w:hAnsi="Times New Roman"/>
          <w:color w:val="000000"/>
          <w:sz w:val="24"/>
        </w:rPr>
        <w:t>means a “parent corporation,” whether now or hereafter existing, as defined in Code Section 424(e).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2.30</w:t>
      </w:r>
    </w:p>
    <w:p>
      <w:pPr>
        <w:pStyle w:val="TextBody"/>
        <w:bidi w:val="0"/>
        <w:spacing w:before="240" w:after="283"/>
        <w:jc w:val="both"/>
        <w:rPr/>
      </w:pPr>
      <w:r>
        <w:rPr>
          <w:color w:val="000000"/>
        </w:rPr>
        <w:t>“</w:t>
      </w:r>
      <w:r>
        <w:rPr>
          <w:rFonts w:ascii="Times New Roman" w:hAnsi="Times New Roman"/>
          <w:b/>
          <w:color w:val="000000"/>
          <w:sz w:val="24"/>
        </w:rPr>
        <w:t>Participant</w:t>
      </w:r>
      <w:r>
        <w:rPr>
          <w:color w:val="000000"/>
        </w:rPr>
        <w:t xml:space="preserve">” </w:t>
      </w:r>
      <w:r>
        <w:rPr>
          <w:rFonts w:ascii="Times New Roman" w:hAnsi="Times New Roman"/>
          <w:color w:val="000000"/>
          <w:sz w:val="24"/>
        </w:rPr>
        <w:t>means the holder of an outstanding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color w:val="000000"/>
        </w:rPr>
        <w:t>“</w:t>
      </w:r>
      <w:r>
        <w:rPr>
          <w:rFonts w:ascii="Times New Roman" w:hAnsi="Times New Roman"/>
          <w:b/>
          <w:color w:val="000000"/>
          <w:sz w:val="24"/>
        </w:rPr>
        <w:t>Performance Awards</w:t>
      </w:r>
      <w:r>
        <w:rPr>
          <w:color w:val="000000"/>
        </w:rPr>
        <w:t xml:space="preserve">” </w:t>
      </w:r>
      <w:bookmarkStart w:id="4" w:name="ole_link4"/>
      <w:bookmarkEnd w:id="4"/>
      <w:r>
        <w:rPr>
          <w:rFonts w:ascii="Times New Roman" w:hAnsi="Times New Roman"/>
          <w:color w:val="000000"/>
          <w:sz w:val="24"/>
        </w:rPr>
        <w:t>means an Award which may be earned in whole or in part upon attainment of performance goals</w:t>
      </w:r>
      <w:r>
        <w:rPr>
          <w:color w:val="000000"/>
        </w:rPr>
        <w:t xml:space="preserve"> </w:t>
      </w:r>
      <w:r>
        <w:rPr>
          <w:rFonts w:ascii="Times New Roman" w:hAnsi="Times New Roman"/>
          <w:color w:val="000000"/>
          <w:sz w:val="24"/>
        </w:rPr>
        <w:t>or other vesting criteria as the Administrator may determine and which may be cash- or stock-denominated and may be settled for cash, Shares or other securities or a combination of the foregoing under Section 10.</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2.32</w:t>
      </w:r>
    </w:p>
    <w:p>
      <w:pPr>
        <w:pStyle w:val="TextBody"/>
        <w:bidi w:val="0"/>
        <w:spacing w:before="240" w:after="283"/>
        <w:jc w:val="both"/>
        <w:rPr/>
      </w:pPr>
      <w:r>
        <w:rPr>
          <w:color w:val="000000"/>
        </w:rPr>
        <w:t>“</w:t>
      </w:r>
      <w:r>
        <w:rPr>
          <w:rFonts w:ascii="Times New Roman" w:hAnsi="Times New Roman"/>
          <w:b/>
          <w:color w:val="000000"/>
          <w:sz w:val="24"/>
        </w:rPr>
        <w:t>Performance Period</w:t>
      </w:r>
      <w:r>
        <w:rPr>
          <w:color w:val="000000"/>
        </w:rPr>
        <w:t xml:space="preserve">” </w:t>
      </w:r>
      <w:r>
        <w:rPr>
          <w:rFonts w:ascii="Times New Roman" w:hAnsi="Times New Roman"/>
          <w:color w:val="000000"/>
          <w:sz w:val="24"/>
        </w:rPr>
        <w:t>means Performance Period as defined in Section 10.1.</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2.33</w:t>
      </w:r>
    </w:p>
    <w:p>
      <w:pPr>
        <w:pStyle w:val="TextBody"/>
        <w:bidi w:val="0"/>
        <w:spacing w:before="240" w:after="283"/>
        <w:jc w:val="both"/>
        <w:rPr/>
      </w:pPr>
      <w:r>
        <w:rPr>
          <w:color w:val="000000"/>
        </w:rPr>
        <w:t>“</w:t>
      </w:r>
      <w:r>
        <w:rPr>
          <w:rFonts w:ascii="Times New Roman" w:hAnsi="Times New Roman"/>
          <w:b/>
          <w:color w:val="000000"/>
          <w:sz w:val="24"/>
        </w:rPr>
        <w:t>Period of Restriction</w:t>
      </w:r>
      <w:r>
        <w:rPr>
          <w:color w:val="000000"/>
        </w:rPr>
        <w:t xml:space="preserve">” </w:t>
      </w:r>
      <w:r>
        <w:rPr>
          <w:rFonts w:ascii="Times New Roman" w:hAnsi="Times New Roman"/>
          <w:color w:val="000000"/>
          <w:sz w:val="24"/>
        </w:rPr>
        <w:t>means the period (if any) during which the transfer of Shares of Restricted Stock is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2.34</w:t>
      </w:r>
    </w:p>
    <w:p>
      <w:pPr>
        <w:pStyle w:val="TextBody"/>
        <w:bidi w:val="0"/>
        <w:spacing w:before="240" w:after="283"/>
        <w:jc w:val="both"/>
        <w:rPr/>
      </w:pPr>
      <w:r>
        <w:rPr>
          <w:color w:val="000000"/>
        </w:rPr>
        <w:t>“</w:t>
      </w:r>
      <w:r>
        <w:rPr>
          <w:rFonts w:ascii="Times New Roman" w:hAnsi="Times New Roman"/>
          <w:b/>
          <w:color w:val="000000"/>
          <w:sz w:val="24"/>
        </w:rPr>
        <w:t>Plan</w:t>
      </w:r>
      <w:r>
        <w:rPr>
          <w:color w:val="000000"/>
        </w:rPr>
        <w:t xml:space="preserve">” </w:t>
      </w:r>
      <w:r>
        <w:rPr>
          <w:rFonts w:ascii="Times New Roman" w:hAnsi="Times New Roman"/>
          <w:color w:val="000000"/>
          <w:sz w:val="24"/>
        </w:rPr>
        <w:t>means this OnKure Therapeutics, Inc. 2024 Equity Incentive Plan, as may be amended from time to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2.35</w:t>
      </w:r>
    </w:p>
    <w:p>
      <w:pPr>
        <w:pStyle w:val="TextBody"/>
        <w:bidi w:val="0"/>
        <w:spacing w:before="240" w:after="283"/>
        <w:jc w:val="both"/>
        <w:rPr/>
      </w:pPr>
      <w:r>
        <w:rPr>
          <w:color w:val="000000"/>
        </w:rPr>
        <w:t>“</w:t>
      </w:r>
      <w:r>
        <w:rPr>
          <w:rFonts w:ascii="Times New Roman" w:hAnsi="Times New Roman"/>
          <w:b/>
          <w:color w:val="000000"/>
          <w:sz w:val="24"/>
        </w:rPr>
        <w:t>Restricted Stock</w:t>
      </w:r>
      <w:r>
        <w:rPr>
          <w:color w:val="000000"/>
        </w:rPr>
        <w:t xml:space="preserve">” </w:t>
      </w:r>
      <w:r>
        <w:rPr>
          <w:rFonts w:ascii="Times New Roman" w:hAnsi="Times New Roman"/>
          <w:color w:val="000000"/>
          <w:sz w:val="24"/>
        </w:rPr>
        <w:t>means Shares issued pursuant to an Award of Restricted Stock under Section 8 or issued pursuant to the early exercise of an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2.36</w:t>
      </w:r>
    </w:p>
    <w:p>
      <w:pPr>
        <w:pStyle w:val="TextBody"/>
        <w:bidi w:val="0"/>
        <w:spacing w:before="240" w:after="283"/>
        <w:jc w:val="both"/>
        <w:rPr/>
      </w:pPr>
      <w:r>
        <w:rPr>
          <w:color w:val="000000"/>
        </w:rPr>
        <w:t>“</w:t>
      </w:r>
      <w:r>
        <w:rPr>
          <w:rFonts w:ascii="Times New Roman" w:hAnsi="Times New Roman"/>
          <w:b/>
          <w:color w:val="000000"/>
          <w:sz w:val="24"/>
        </w:rPr>
        <w:t>Restricted Stock Unit</w:t>
      </w:r>
      <w:r>
        <w:rPr>
          <w:color w:val="000000"/>
        </w:rPr>
        <w:t xml:space="preserve">” </w:t>
      </w:r>
      <w:r>
        <w:rPr>
          <w:rFonts w:ascii="Times New Roman" w:hAnsi="Times New Roman"/>
          <w:color w:val="000000"/>
          <w:sz w:val="24"/>
        </w:rPr>
        <w:t xml:space="preserve">means a bookkeeping entry representing an amount equal to the fair market value of one Share, granted pursuant to Section 9. Each Restricted Stock Unit represents an unfunded and unsecured obligation of the Company.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2.37</w:t>
      </w:r>
    </w:p>
    <w:p>
      <w:pPr>
        <w:pStyle w:val="TextBody"/>
        <w:bidi w:val="0"/>
        <w:spacing w:before="240" w:after="283"/>
        <w:jc w:val="both"/>
        <w:rPr/>
      </w:pPr>
      <w:r>
        <w:rPr>
          <w:color w:val="000000"/>
        </w:rPr>
        <w:t>“</w:t>
      </w:r>
      <w:r>
        <w:rPr>
          <w:rFonts w:ascii="Times New Roman" w:hAnsi="Times New Roman"/>
          <w:b/>
          <w:color w:val="000000"/>
          <w:sz w:val="24"/>
        </w:rPr>
        <w:t>Rule 16b</w:t>
        <w:noBreakHyphen/>
        <w:t>3</w:t>
      </w:r>
      <w:r>
        <w:rPr>
          <w:color w:val="000000"/>
        </w:rPr>
        <w:t xml:space="preserve">” </w:t>
      </w:r>
      <w:r>
        <w:rPr>
          <w:rFonts w:ascii="Times New Roman" w:hAnsi="Times New Roman"/>
          <w:color w:val="000000"/>
          <w:sz w:val="24"/>
        </w:rPr>
        <w:t>means Rule 16b</w:t>
        <w:noBreakHyphen/>
        <w:t>3 of the Exchange Act or any successor to Rule 16b</w:t>
        <w:noBreakHyphen/>
        <w:t>3, as in effect when discretion is being exercised with respect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2.38</w:t>
      </w:r>
    </w:p>
    <w:p>
      <w:pPr>
        <w:pStyle w:val="TextBody"/>
        <w:bidi w:val="0"/>
        <w:spacing w:before="240" w:after="283"/>
        <w:jc w:val="both"/>
        <w:rPr/>
      </w:pPr>
      <w:r>
        <w:rPr>
          <w:color w:val="000000"/>
        </w:rPr>
        <w:t>“</w:t>
      </w:r>
      <w:r>
        <w:rPr>
          <w:rFonts w:ascii="Times New Roman" w:hAnsi="Times New Roman"/>
          <w:b/>
          <w:color w:val="000000"/>
          <w:sz w:val="24"/>
        </w:rPr>
        <w:t>Section 16b</w:t>
      </w:r>
      <w:r>
        <w:rPr>
          <w:color w:val="000000"/>
        </w:rPr>
        <w:t xml:space="preserve">” </w:t>
      </w:r>
      <w:r>
        <w:rPr>
          <w:rFonts w:ascii="Times New Roman" w:hAnsi="Times New Roman"/>
          <w:color w:val="000000"/>
          <w:sz w:val="24"/>
        </w:rPr>
        <w:t>means Section 16(b) of the Exchange Act.</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2.39</w:t>
      </w:r>
    </w:p>
    <w:p>
      <w:pPr>
        <w:pStyle w:val="TextBody"/>
        <w:bidi w:val="0"/>
        <w:spacing w:before="240" w:after="283"/>
        <w:jc w:val="both"/>
        <w:rPr/>
      </w:pPr>
      <w:r>
        <w:rPr>
          <w:color w:val="000000"/>
        </w:rPr>
        <w:t>“</w:t>
      </w:r>
      <w:r>
        <w:rPr>
          <w:rFonts w:ascii="Times New Roman" w:hAnsi="Times New Roman"/>
          <w:b/>
          <w:color w:val="000000"/>
          <w:sz w:val="24"/>
        </w:rPr>
        <w:t>Section 409A</w:t>
      </w:r>
      <w:r>
        <w:rPr>
          <w:color w:val="000000"/>
        </w:rPr>
        <w:t xml:space="preserve">” </w:t>
      </w:r>
      <w:r>
        <w:rPr>
          <w:rFonts w:ascii="Times New Roman" w:hAnsi="Times New Roman"/>
          <w:color w:val="000000"/>
          <w:sz w:val="24"/>
        </w:rPr>
        <w:t>means Code Section 409A and the U.S. Treasury Regulations and guidance thereunder, and any applicable state law equivalent, as each may be promulgated, amended or modified from time to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2.40</w:t>
      </w:r>
    </w:p>
    <w:p>
      <w:pPr>
        <w:pStyle w:val="TextBody"/>
        <w:bidi w:val="0"/>
        <w:spacing w:before="240" w:after="283"/>
        <w:jc w:val="both"/>
        <w:rPr/>
      </w:pPr>
      <w:r>
        <w:rPr>
          <w:color w:val="000000"/>
        </w:rPr>
        <w:t>“</w:t>
      </w:r>
      <w:r>
        <w:rPr>
          <w:rFonts w:ascii="Times New Roman" w:hAnsi="Times New Roman"/>
          <w:b/>
          <w:color w:val="000000"/>
          <w:sz w:val="24"/>
        </w:rPr>
        <w:t>Securities Act</w:t>
      </w:r>
      <w:r>
        <w:rPr>
          <w:color w:val="000000"/>
        </w:rPr>
        <w:t xml:space="preserve">” </w:t>
      </w:r>
      <w:r>
        <w:rPr>
          <w:rFonts w:ascii="Times New Roman" w:hAnsi="Times New Roman"/>
          <w:color w:val="000000"/>
          <w:sz w:val="24"/>
        </w:rPr>
        <w:t xml:space="preserve">means the U.S. Securities Act of 1933, as amended, including the rules and regulations promulgated thereunder.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2.41</w:t>
      </w:r>
    </w:p>
    <w:p>
      <w:pPr>
        <w:pStyle w:val="TextBody"/>
        <w:bidi w:val="0"/>
        <w:spacing w:before="240" w:after="283"/>
        <w:jc w:val="both"/>
        <w:rPr/>
      </w:pPr>
      <w:r>
        <w:rPr>
          <w:color w:val="000000"/>
        </w:rPr>
        <w:t>“</w:t>
      </w:r>
      <w:r>
        <w:rPr>
          <w:rFonts w:ascii="Times New Roman" w:hAnsi="Times New Roman"/>
          <w:b/>
          <w:color w:val="000000"/>
          <w:sz w:val="24"/>
        </w:rPr>
        <w:t>Service Provider</w:t>
      </w:r>
      <w:r>
        <w:rPr>
          <w:color w:val="000000"/>
        </w:rPr>
        <w:t xml:space="preserve">” </w:t>
      </w:r>
      <w:r>
        <w:rPr>
          <w:rFonts w:ascii="Times New Roman" w:hAnsi="Times New Roman"/>
          <w:color w:val="000000"/>
          <w:sz w:val="24"/>
        </w:rPr>
        <w:t>means an Employee, Director or Consultant.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2.42</w:t>
      </w:r>
    </w:p>
    <w:p>
      <w:pPr>
        <w:pStyle w:val="TextBody"/>
        <w:bidi w:val="0"/>
        <w:spacing w:before="240" w:after="283"/>
        <w:jc w:val="both"/>
        <w:rPr/>
      </w:pPr>
      <w:r>
        <w:rPr>
          <w:color w:val="000000"/>
        </w:rPr>
        <w:t>“</w:t>
      </w:r>
      <w:r>
        <w:rPr>
          <w:rFonts w:ascii="Times New Roman" w:hAnsi="Times New Roman"/>
          <w:b/>
          <w:color w:val="000000"/>
          <w:sz w:val="24"/>
        </w:rPr>
        <w:t>Share</w:t>
      </w:r>
      <w:r>
        <w:rPr>
          <w:color w:val="000000"/>
        </w:rPr>
        <w:t xml:space="preserve">” </w:t>
      </w:r>
      <w:r>
        <w:rPr>
          <w:rFonts w:ascii="Times New Roman" w:hAnsi="Times New Roman"/>
          <w:color w:val="000000"/>
          <w:sz w:val="24"/>
        </w:rPr>
        <w:t>means a share of the Common Stock, as adjusted in accordance with Section 15.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2.43</w:t>
      </w:r>
    </w:p>
    <w:p>
      <w:pPr>
        <w:pStyle w:val="TextBody"/>
        <w:bidi w:val="0"/>
        <w:spacing w:before="240" w:after="283"/>
        <w:jc w:val="both"/>
        <w:rPr/>
      </w:pPr>
      <w:r>
        <w:rPr>
          <w:color w:val="000000"/>
        </w:rPr>
        <w:t>“</w:t>
      </w:r>
      <w:r>
        <w:rPr>
          <w:rFonts w:ascii="Times New Roman" w:hAnsi="Times New Roman"/>
          <w:b/>
          <w:color w:val="000000"/>
          <w:sz w:val="24"/>
        </w:rPr>
        <w:t>Stock Appreciation Right</w:t>
      </w:r>
      <w:r>
        <w:rPr>
          <w:color w:val="000000"/>
        </w:rPr>
        <w:t xml:space="preserve">” </w:t>
      </w:r>
      <w:r>
        <w:rPr>
          <w:rFonts w:ascii="Times New Roman" w:hAnsi="Times New Roman"/>
          <w:color w:val="000000"/>
          <w:sz w:val="24"/>
        </w:rPr>
        <w:t>means an Award, granted alone or in connection with an Option, that pursuant to Section 7 is designated as a Stock Appreciation Right.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2.44</w:t>
      </w:r>
    </w:p>
    <w:p>
      <w:pPr>
        <w:pStyle w:val="TextBody"/>
        <w:bidi w:val="0"/>
        <w:spacing w:before="240" w:after="283"/>
        <w:jc w:val="both"/>
        <w:rPr/>
      </w:pPr>
      <w:r>
        <w:rPr>
          <w:color w:val="000000"/>
        </w:rPr>
        <w:t>“</w:t>
      </w:r>
      <w:r>
        <w:rPr>
          <w:rFonts w:ascii="Times New Roman" w:hAnsi="Times New Roman"/>
          <w:b/>
          <w:color w:val="000000"/>
          <w:sz w:val="24"/>
        </w:rPr>
        <w:t>Subsidiary</w:t>
      </w:r>
      <w:r>
        <w:rPr>
          <w:color w:val="000000"/>
        </w:rPr>
        <w:t xml:space="preserve">” </w:t>
      </w:r>
      <w:r>
        <w:rPr>
          <w:rFonts w:ascii="Times New Roman" w:hAnsi="Times New Roman"/>
          <w:color w:val="000000"/>
          <w:sz w:val="24"/>
        </w:rPr>
        <w:t>means a “subsidiary corporation,” whether now or hereafter exist?ing, as defined in Code Section 424(f).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2.45</w:t>
      </w:r>
    </w:p>
    <w:p>
      <w:pPr>
        <w:pStyle w:val="TextBody"/>
        <w:bidi w:val="0"/>
        <w:spacing w:before="240" w:after="283"/>
        <w:jc w:val="both"/>
        <w:rPr/>
      </w:pPr>
      <w:r>
        <w:rPr>
          <w:color w:val="000000"/>
        </w:rPr>
        <w:t>“</w:t>
      </w:r>
      <w:r>
        <w:rPr>
          <w:rFonts w:ascii="Times New Roman" w:hAnsi="Times New Roman"/>
          <w:b/>
          <w:color w:val="000000"/>
          <w:sz w:val="24"/>
        </w:rPr>
        <w:t>Trading Day</w:t>
      </w:r>
      <w:r>
        <w:rPr>
          <w:color w:val="000000"/>
        </w:rPr>
        <w:t xml:space="preserve">” </w:t>
      </w:r>
      <w:r>
        <w:rPr>
          <w:rFonts w:ascii="Times New Roman" w:hAnsi="Times New Roman"/>
          <w:color w:val="000000"/>
          <w:sz w:val="24"/>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2.46</w:t>
      </w:r>
    </w:p>
    <w:p>
      <w:pPr>
        <w:pStyle w:val="TextBody"/>
        <w:bidi w:val="0"/>
        <w:spacing w:before="240" w:after="283"/>
        <w:jc w:val="both"/>
        <w:rPr/>
      </w:pPr>
      <w:r>
        <w:rPr>
          <w:color w:val="000000"/>
        </w:rPr>
        <w:t>“</w:t>
      </w:r>
      <w:r>
        <w:rPr>
          <w:rFonts w:ascii="Times New Roman" w:hAnsi="Times New Roman"/>
          <w:b/>
          <w:color w:val="000000"/>
          <w:sz w:val="24"/>
        </w:rPr>
        <w:t>U.S. Treasury Regulations</w:t>
      </w:r>
      <w:r>
        <w:rPr>
          <w:color w:val="000000"/>
        </w:rPr>
        <w:t xml:space="preserve">” </w:t>
      </w:r>
      <w:r>
        <w:rPr>
          <w:rFonts w:ascii="Times New Roman" w:hAnsi="Times New Roman"/>
          <w:color w:val="000000"/>
          <w:sz w:val="24"/>
        </w:rPr>
        <w:t xml:space="preserve">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pPr>
      <w:r>
        <w:rPr>
          <w:rFonts w:ascii="Times New Roman" w:hAnsi="Times New Roman"/>
          <w:b/>
          <w:color w:val="000000"/>
          <w:sz w:val="24"/>
        </w:rPr>
        <w:t>Stock Subject to the Plan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3.1</w:t>
      </w:r>
    </w:p>
    <w:p>
      <w:pPr>
        <w:pStyle w:val="TextBody"/>
        <w:bidi w:val="0"/>
        <w:spacing w:before="240" w:after="283"/>
        <w:jc w:val="both"/>
        <w:rPr/>
      </w:pPr>
      <w:r>
        <w:rPr>
          <w:rFonts w:ascii="Times New Roman" w:hAnsi="Times New Roman"/>
          <w:b/>
          <w:color w:val="000000"/>
          <w:sz w:val="24"/>
        </w:rPr>
        <w:t>Stock Subject to the Plan</w:t>
      </w:r>
      <w:r>
        <w:rPr>
          <w:rFonts w:ascii="Times New Roman" w:hAnsi="Times New Roman"/>
          <w:color w:val="000000"/>
          <w:sz w:val="24"/>
        </w:rPr>
        <w:t>. Subject to adjustment upon changes in capitalization of the Company as provided in Section 15 and the automatic increase set forth in Section 3.2, the maximum aggregate number of Shares that may be subject to Awards and sold under the Plan will be equal to (a) 5,711,638 Shares, plus (b) any Shares subject to equity awards granted under the Reneo Pharmaceuticals, Inc. 2021 Equity Incentive Plan (the “</w:t>
      </w:r>
      <w:r>
        <w:rPr>
          <w:rFonts w:ascii="Times New Roman" w:hAnsi="Times New Roman"/>
          <w:b/>
          <w:color w:val="000000"/>
          <w:sz w:val="24"/>
        </w:rPr>
        <w:t>Reneo 2021 Plan</w:t>
      </w:r>
      <w:r>
        <w:rPr>
          <w:color w:val="000000"/>
        </w:rPr>
        <w:t>”</w:t>
      </w:r>
      <w:r>
        <w:rPr>
          <w:rFonts w:ascii="Times New Roman" w:hAnsi="Times New Roman"/>
          <w:color w:val="000000"/>
          <w:sz w:val="24"/>
        </w:rPr>
        <w:t xml:space="preserve">) that, as of immediately prior to the later of the Effective Time or the termination of the Reneo 2021 Plan, are cancelled or forfeited, expire or otherwise terminate without having been exercised in full, are tendered to or withheld by the Company for payment of an exercise price or for tax withholding obligations related to awards granted under the Reneo 2021 Plan, are forfeited to or repurchased by the Company due to failure to vest, or otherwise would, but for the termination of the Reneo 2021 Plan, have been added back to the Share reserve of the Reneo 2021 Plan in accordance with its terms, plus (c) any Shares subject to stock options or other awards that are assumed in the First Merger and that, on or after the Effective Time, are cancelled or forfeited,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clauses (b) and (c) equal to 935,841 Shares. In addition, Shares may become available for issuance under Sections 3.2 and 3.3. The Shares may be authorized but unissued Common Stock or reacquired Common Stock.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3.2</w:t>
      </w:r>
    </w:p>
    <w:p>
      <w:pPr>
        <w:pStyle w:val="TextBody"/>
        <w:bidi w:val="0"/>
        <w:spacing w:before="240" w:after="283"/>
        <w:jc w:val="both"/>
        <w:rPr/>
      </w:pPr>
      <w:r>
        <w:rPr>
          <w:rFonts w:ascii="Times New Roman" w:hAnsi="Times New Roman"/>
          <w:b/>
          <w:color w:val="000000"/>
          <w:sz w:val="24"/>
        </w:rPr>
        <w:t>Automatic Share Reserve Increase</w:t>
      </w:r>
      <w:r>
        <w:rPr>
          <w:rFonts w:ascii="Times New Roman" w:hAnsi="Times New Roman"/>
          <w:color w:val="000000"/>
          <w:sz w:val="24"/>
        </w:rPr>
        <w:t xml:space="preserve">. Subject to adjustment upon changes in capitalization of the Company as provided in Section 15, the number of Shares available for issuance under the Plan will be increased annually on the first day of each Fiscal Year beginning with the 2025 Fiscal Year, in an amount equal to the least of (a) (i) for Fiscal Years beginning prior to the 2027 Fiscal Year, the least of (1) 2,407,100 Shares and (2) a number of Shares equal to five percent (5%) of the total number of shares of all classes of common stock of the Company outstanding on the last day of the immediately preceding Fiscal Year, and (ii) beginning with the 2027 Fiscal Year, a number of Shares equal to five percent (5%) of the total number of shares of all classes of common stock of the Company outstanding on the last day of the immediately preceding Fiscal Year, and (b) such number of Shares determined by the Administrator no later than the last day of the immediately preceding Fiscal Year.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3.3</w:t>
      </w:r>
    </w:p>
    <w:p>
      <w:pPr>
        <w:pStyle w:val="TextBody"/>
        <w:bidi w:val="0"/>
        <w:spacing w:before="240" w:after="283"/>
        <w:jc w:val="both"/>
        <w:rPr/>
      </w:pPr>
      <w:r>
        <w:rPr>
          <w:rFonts w:ascii="Times New Roman" w:hAnsi="Times New Roman"/>
          <w:b/>
          <w:color w:val="000000"/>
          <w:sz w:val="24"/>
        </w:rPr>
        <w:t>Lapsed Awards</w:t>
      </w:r>
      <w:r>
        <w:rPr>
          <w:rFonts w:ascii="Times New Roman" w:hAnsi="Times New Roman"/>
          <w:color w:val="000000"/>
          <w:sz w:val="24"/>
        </w:rPr>
        <w:t xml:space="preserve">.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that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otherwise issuable under an Award that are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3.4</w:t>
      </w:r>
    </w:p>
    <w:p>
      <w:pPr>
        <w:pStyle w:val="TextBody"/>
        <w:bidi w:val="0"/>
        <w:spacing w:before="240" w:after="283"/>
        <w:jc w:val="both"/>
        <w:rPr/>
      </w:pPr>
      <w:r>
        <w:rPr>
          <w:rFonts w:ascii="Times New Roman" w:hAnsi="Times New Roman"/>
          <w:b/>
          <w:color w:val="000000"/>
          <w:sz w:val="24"/>
        </w:rPr>
        <w:t>Incentive Stock Options</w:t>
      </w:r>
      <w:r>
        <w:rPr>
          <w:rFonts w:ascii="Times New Roman" w:hAnsi="Times New Roman"/>
          <w:color w:val="000000"/>
          <w:sz w:val="24"/>
        </w:rPr>
        <w:t xml:space="preserve">. Subject to the foregoing limits and subject to adjustment as provided in Section 15, the maximum number of Shares that may be issued upon the exercise of Incentive Stock Options will equal 8,000,000 Shares.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3.5</w:t>
      </w:r>
    </w:p>
    <w:p>
      <w:pPr>
        <w:pStyle w:val="TextBody"/>
        <w:bidi w:val="0"/>
        <w:spacing w:before="240" w:after="283"/>
        <w:jc w:val="both"/>
        <w:rPr/>
      </w:pPr>
      <w:r>
        <w:rPr>
          <w:rFonts w:ascii="Times New Roman" w:hAnsi="Times New Roman"/>
          <w:b/>
          <w:color w:val="000000"/>
          <w:sz w:val="24"/>
        </w:rPr>
        <w:t>Share Reserve</w:t>
      </w:r>
      <w:r>
        <w:rPr>
          <w:rFonts w:ascii="Times New Roman" w:hAnsi="Times New Roman"/>
          <w:color w:val="000000"/>
          <w:sz w:val="24"/>
        </w:rPr>
        <w:t>. The Company, during the term of this Plan, will at all times reserve and keep available such number of Shares as will be sufficient to satisfy the requirements of this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both"/>
        <w:rPr/>
      </w:pPr>
      <w:r>
        <w:rPr>
          <w:rFonts w:ascii="Times New Roman" w:hAnsi="Times New Roman"/>
          <w:b/>
          <w:color w:val="000000"/>
          <w:sz w:val="24"/>
        </w:rPr>
        <w:t>Administration of this Plan</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w:t>
      </w:r>
    </w:p>
    <w:p>
      <w:pPr>
        <w:pStyle w:val="TextBody"/>
        <w:bidi w:val="0"/>
        <w:spacing w:before="240" w:after="283"/>
        <w:jc w:val="both"/>
        <w:rPr/>
      </w:pPr>
      <w:r>
        <w:rPr>
          <w:rFonts w:ascii="Times New Roman" w:hAnsi="Times New Roman"/>
          <w:b/>
          <w:color w:val="000000"/>
          <w:sz w:val="24"/>
        </w:rPr>
        <w:t>Procedure</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4.1.1</w:t>
      </w:r>
    </w:p>
    <w:p>
      <w:pPr>
        <w:pStyle w:val="TextBody"/>
        <w:bidi w:val="0"/>
        <w:spacing w:before="240" w:after="283"/>
        <w:jc w:val="both"/>
        <w:rPr/>
      </w:pPr>
      <w:r>
        <w:rPr>
          <w:rFonts w:ascii="Times New Roman" w:hAnsi="Times New Roman"/>
          <w:b/>
          <w:color w:val="000000"/>
          <w:sz w:val="24"/>
        </w:rPr>
        <w:t>Multiple Administrative Bodies</w:t>
      </w:r>
      <w:r>
        <w:rPr>
          <w:rFonts w:ascii="Times New Roman" w:hAnsi="Times New Roman"/>
          <w:color w:val="000000"/>
          <w:sz w:val="24"/>
        </w:rPr>
        <w:t>. Different Committees with respect to different groups of Service Providers may administer this Plan.</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4.1.2</w:t>
      </w:r>
    </w:p>
    <w:p>
      <w:pPr>
        <w:pStyle w:val="TextBody"/>
        <w:bidi w:val="0"/>
        <w:spacing w:before="240" w:after="283"/>
        <w:jc w:val="both"/>
        <w:rPr/>
      </w:pPr>
      <w:r>
        <w:rPr>
          <w:rFonts w:ascii="Times New Roman" w:hAnsi="Times New Roman"/>
          <w:b/>
          <w:color w:val="000000"/>
          <w:sz w:val="24"/>
        </w:rPr>
        <w:t>Rule 16b-3</w:t>
      </w:r>
      <w:r>
        <w:rPr>
          <w:rFonts w:ascii="Times New Roman" w:hAnsi="Times New Roman"/>
          <w:color w:val="000000"/>
          <w:sz w:val="24"/>
        </w:rPr>
        <w:t>. To the extent desirable to qualify transactions hereunder as exempt under Rule 16b-3, the transactions contemplated hereunder will be structured to satisfy the requirements for exemption under Rule 16b-3.</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4.1.3</w:t>
      </w:r>
    </w:p>
    <w:p>
      <w:pPr>
        <w:pStyle w:val="TextBody"/>
        <w:bidi w:val="0"/>
        <w:spacing w:before="240" w:after="283"/>
        <w:jc w:val="both"/>
        <w:rPr/>
      </w:pPr>
      <w:r>
        <w:rPr>
          <w:rFonts w:ascii="Times New Roman" w:hAnsi="Times New Roman"/>
          <w:b/>
          <w:color w:val="000000"/>
          <w:sz w:val="24"/>
        </w:rPr>
        <w:t>Other Administration</w:t>
      </w:r>
      <w:r>
        <w:rPr>
          <w:rFonts w:ascii="Times New Roman" w:hAnsi="Times New Roman"/>
          <w:color w:val="000000"/>
          <w:sz w:val="24"/>
        </w:rPr>
        <w:t xml:space="preserve">. Other than as provided above, the Plan will be administered by (a) the Board or (b) a Committee, which Committee will be constituted to comply with Applicable Laws.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4.1.4</w:t>
      </w:r>
    </w:p>
    <w:p>
      <w:pPr>
        <w:pStyle w:val="TextBody"/>
        <w:bidi w:val="0"/>
        <w:spacing w:before="240" w:after="283"/>
        <w:jc w:val="left"/>
        <w:rPr/>
      </w:pPr>
      <w:r>
        <w:rPr>
          <w:rFonts w:ascii="Times New Roman" w:hAnsi="Times New Roman"/>
          <w:b/>
          <w:color w:val="000000"/>
          <w:sz w:val="24"/>
        </w:rPr>
        <w:t>Delegation of Authority for Day-to-Day Administration</w:t>
      </w:r>
      <w:r>
        <w:rPr>
          <w:rFonts w:ascii="Times New Roman" w:hAnsi="Times New Roman"/>
          <w:color w:val="000000"/>
          <w:sz w:val="24"/>
        </w:rPr>
        <w:t>. Except to the extent prohibited by Applicable Laws, the Administrator may delegate to one or more individuals the day-to-day administration of this Plan and any of the functions assigned to it in this Plan. Such delegation may be revoked at any time.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4.2</w:t>
      </w:r>
    </w:p>
    <w:p>
      <w:pPr>
        <w:pStyle w:val="TextBody"/>
        <w:bidi w:val="0"/>
        <w:spacing w:before="240" w:after="283"/>
        <w:jc w:val="both"/>
        <w:rPr/>
      </w:pPr>
      <w:r>
        <w:rPr>
          <w:rFonts w:ascii="Times New Roman" w:hAnsi="Times New Roman"/>
          <w:b/>
          <w:color w:val="000000"/>
          <w:sz w:val="24"/>
        </w:rPr>
        <w:t>Powers of the Administrator</w:t>
      </w:r>
      <w:r>
        <w:rPr>
          <w:rFonts w:ascii="Times New Roman" w:hAnsi="Times New Roman"/>
          <w:color w:val="000000"/>
          <w:sz w:val="24"/>
        </w:rPr>
        <w:t>. Subject to the provisions of this Plan, and in the case of a Committee, subject to the specific duties delegated by the Board to such Committee, the Administrator will have the authority,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Fair Market Value;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Awards to be granted and select the Service Providers to whom Awards may be granted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the number of Shares or dollar amounts to be covered by each Award granted 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approve forms of Award Agreements for use under this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determine the terms and conditions, not inconsistent with the terms of this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necessary or appropriate for administrative purposes or to comply with Applicable Laws, provided that, except where the exercise of the Award would result in noncompliance with Applicable Laws, such suspension must be lifted prior to the expiration of the maximum term and post-termination exercisability period of an Award), based in each case on such factors as the Administrator may determine;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institute and determine the terms and conditions of an Exchange Program, including, subject to Section 20.3, to unilaterally implement an Exchange Program without the consent of the applicable Award holder;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construe and interpret the terms of this Plan and Awards granted pursuant to this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prescribe, amend and rescind rules and regulations relating to this Plan, including rules and regulations relating to sub-plans established for the purpose of facilitating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compliance with applicable non</w:t>
        <w:noBreakHyphen/>
        <w:t>U.S. laws, easing the administration of this Plan and/or for qualifying for favorable tax treatment under applicable non</w:t>
        <w:noBreakHyphen/>
        <w:t>U.S. laws, in each case as the Administrator may deem necessary or advisable;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(j)</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allow Participants to satisfy withholding tax obligations in a manner prescribed in Section 16;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(k)</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authorize any person to execute on behalf of the Company any instrument required to effect the grant of an Award previously granted by the Administrator;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to allow a Participant to defer the receipt of the payment of cash or the delivery of Shares that otherwise would be due to such Participant under an Award;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determine whether Awards will be settled in Shares, cash or in any combination thereof; and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to make all other determinations deemed necessary or advisable for administering the Plan.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For the avoidance of doubt, the Administrator will not be obligated to treat all Awards, all Awards held by a Participant, all Awards of the same type, or all portions of Awards, similarly including but not limited to with respect to the number of Shares covered by such Award, the price applicable to such Award, or the vesting, forfeiture or other terms and conditions applicable to such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4.3</w:t>
      </w:r>
    </w:p>
    <w:p>
      <w:pPr>
        <w:pStyle w:val="TextBody"/>
        <w:bidi w:val="0"/>
        <w:spacing w:before="240" w:after="283"/>
        <w:jc w:val="both"/>
        <w:rPr/>
      </w:pPr>
      <w:r>
        <w:rPr>
          <w:rFonts w:ascii="Times New Roman" w:hAnsi="Times New Roman"/>
          <w:b/>
          <w:color w:val="000000"/>
          <w:sz w:val="24"/>
        </w:rPr>
        <w:t>Effect of Administrator’s Decisions</w:t>
      </w:r>
      <w:r>
        <w:rPr>
          <w:rFonts w:ascii="Times New Roman" w:hAnsi="Times New Roman"/>
          <w:color w:val="000000"/>
          <w:sz w:val="24"/>
        </w:rPr>
        <w:t>. The Administrator’s decisions, determinations and interpretations will be final and binding on all Participants and any other holders of Awards and will be given the maximum deference permitted by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both"/>
        <w:rPr/>
      </w:pPr>
      <w:r>
        <w:rPr>
          <w:rFonts w:ascii="Times New Roman" w:hAnsi="Times New Roman"/>
          <w:b/>
          <w:color w:val="000000"/>
          <w:sz w:val="24"/>
        </w:rPr>
        <w:t>Eligibility</w:t>
      </w:r>
      <w:r>
        <w:rPr>
          <w:rFonts w:ascii="Times New Roman" w:hAnsi="Times New Roman"/>
          <w:color w:val="000000"/>
          <w:sz w:val="24"/>
        </w:rPr>
        <w:t>. Nonstatutory Stock Options, Stock Appreciation Rights, Restricted Stock, Restricted Stock Units or Performance Awards may be granted to Service Providers. Incentive Stock Options may be granted only to Employees.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both"/>
        <w:rPr/>
      </w:pPr>
      <w:r>
        <w:rPr>
          <w:rFonts w:ascii="Times New Roman" w:hAnsi="Times New Roman"/>
          <w:b/>
          <w:color w:val="000000"/>
          <w:sz w:val="24"/>
        </w:rPr>
        <w:t>Stock Options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6.1</w:t>
      </w:r>
    </w:p>
    <w:p>
      <w:pPr>
        <w:pStyle w:val="TextBody"/>
        <w:bidi w:val="0"/>
        <w:spacing w:before="240" w:after="283"/>
        <w:jc w:val="both"/>
        <w:rPr/>
      </w:pPr>
      <w:r>
        <w:rPr>
          <w:rFonts w:ascii="Times New Roman" w:hAnsi="Times New Roman"/>
          <w:b/>
          <w:color w:val="000000"/>
          <w:sz w:val="24"/>
        </w:rPr>
        <w:t>Grant of Options</w:t>
      </w:r>
      <w:r>
        <w:rPr>
          <w:rFonts w:ascii="Times New Roman" w:hAnsi="Times New Roman"/>
          <w:color w:val="000000"/>
          <w:sz w:val="24"/>
        </w:rPr>
        <w:t>. Subject to the terms and conditions of this Plan, the Administrator, at any time and from time to time, may grant Options to Service Providers in such amounts as the Administrator, in its sole discretion, will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6.2</w:t>
      </w:r>
    </w:p>
    <w:p>
      <w:pPr>
        <w:pStyle w:val="TextBody"/>
        <w:bidi w:val="0"/>
        <w:spacing w:before="240" w:after="283"/>
        <w:jc w:val="both"/>
        <w:rPr/>
      </w:pPr>
      <w:r>
        <w:rPr>
          <w:rFonts w:ascii="Times New Roman" w:hAnsi="Times New Roman"/>
          <w:b/>
          <w:color w:val="000000"/>
          <w:sz w:val="24"/>
        </w:rPr>
        <w:t>Option Agreement</w:t>
      </w:r>
      <w:r>
        <w:rPr>
          <w:rFonts w:ascii="Times New Roman" w:hAnsi="Times New Roman"/>
          <w:color w:val="000000"/>
          <w:sz w:val="24"/>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may determine.</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6.3</w:t>
      </w:r>
    </w:p>
    <w:p>
      <w:pPr>
        <w:pStyle w:val="TextBody"/>
        <w:bidi w:val="0"/>
        <w:spacing w:before="240" w:after="283"/>
        <w:jc w:val="both"/>
        <w:rPr/>
      </w:pPr>
      <w:r>
        <w:rPr>
          <w:rFonts w:ascii="Times New Roman" w:hAnsi="Times New Roman"/>
          <w:b/>
          <w:color w:val="000000"/>
          <w:sz w:val="24"/>
        </w:rPr>
        <w:t>Limitations</w:t>
      </w:r>
      <w:r>
        <w:rPr>
          <w:rFonts w:ascii="Times New Roman" w:hAnsi="Times New Roman"/>
          <w:color w:val="000000"/>
          <w:sz w:val="24"/>
        </w:rPr>
        <w:t>. Each Option will be designated in the Award Agreement as either an Incentive Stock Option or a Nonstatutory Stock Option.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6.4</w:t>
      </w:r>
    </w:p>
    <w:p>
      <w:pPr>
        <w:pStyle w:val="TextBody"/>
        <w:bidi w:val="0"/>
        <w:spacing w:before="240" w:after="283"/>
        <w:jc w:val="both"/>
        <w:rPr/>
      </w:pPr>
      <w:r>
        <w:rPr>
          <w:rFonts w:ascii="Times New Roman" w:hAnsi="Times New Roman"/>
          <w:b/>
          <w:color w:val="000000"/>
          <w:sz w:val="24"/>
        </w:rPr>
        <w:t>Term of Option</w:t>
      </w:r>
      <w:r>
        <w:rPr>
          <w:rFonts w:ascii="Times New Roman" w:hAnsi="Times New Roman"/>
          <w:color w:val="000000"/>
          <w:sz w:val="24"/>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of the Company, the maximum term of the Incentive Stock Option will be five (5) years from the date of grant.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w:t>
      </w:r>
    </w:p>
    <w:p>
      <w:pPr>
        <w:pStyle w:val="TextBody"/>
        <w:bidi w:val="0"/>
        <w:spacing w:before="240" w:after="283"/>
        <w:jc w:val="both"/>
        <w:rPr/>
      </w:pPr>
      <w:r>
        <w:rPr>
          <w:rFonts w:ascii="Times New Roman" w:hAnsi="Times New Roman"/>
          <w:b/>
          <w:color w:val="000000"/>
          <w:sz w:val="24"/>
        </w:rPr>
        <w:t>Option Exercise Price and Consideration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6.5.1</w:t>
      </w:r>
    </w:p>
    <w:p>
      <w:pPr>
        <w:pStyle w:val="TextBody"/>
        <w:bidi w:val="0"/>
        <w:spacing w:before="240" w:after="283"/>
        <w:jc w:val="both"/>
        <w:rPr/>
      </w:pPr>
      <w:r>
        <w:rPr>
          <w:rFonts w:ascii="Times New Roman" w:hAnsi="Times New Roman"/>
          <w:b/>
          <w:color w:val="000000"/>
          <w:sz w:val="24"/>
        </w:rPr>
        <w:t>Exercise Price</w:t>
      </w:r>
      <w:r>
        <w:rPr>
          <w:rFonts w:ascii="Times New Roman" w:hAnsi="Times New Roman"/>
          <w:color w:val="000000"/>
          <w:sz w:val="24"/>
        </w:rPr>
        <w:t xml:space="preserve">. The per-Share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of the Company, the per-Share exercise price will be no less than one hundred ten percent (110%) of the Fair Market Value per Share on the date of grant. Notwithstanding the foregoing, Options may be granted with a per-Share exercise price of less than one hundred percent (100%) of the Fair Market Value per Share on the date of grant pursuant to a transaction described in, and in a manner consistent with, Code Section 424(a).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6.5.2</w:t>
      </w:r>
    </w:p>
    <w:p>
      <w:pPr>
        <w:pStyle w:val="TextBody"/>
        <w:bidi w:val="0"/>
        <w:spacing w:before="240" w:after="283"/>
        <w:jc w:val="both"/>
        <w:rPr/>
      </w:pPr>
      <w:r>
        <w:rPr>
          <w:rFonts w:ascii="Times New Roman" w:hAnsi="Times New Roman"/>
          <w:b/>
          <w:color w:val="000000"/>
          <w:sz w:val="24"/>
        </w:rPr>
        <w:t>Waiting Period and Exercise Dates</w:t>
      </w:r>
      <w:r>
        <w:rPr>
          <w:rFonts w:ascii="Times New Roman" w:hAnsi="Times New Roman"/>
          <w:color w:val="000000"/>
          <w:sz w:val="24"/>
        </w:rPr>
        <w:t>. At the time an Option is granted, the Administrator will fix the period within which the Option may be exercised and will determine any conditions that must be satisfied before the Option may be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6.5.3</w:t>
      </w:r>
    </w:p>
    <w:p>
      <w:pPr>
        <w:pStyle w:val="TextBody"/>
        <w:bidi w:val="0"/>
        <w:spacing w:before="240" w:after="283"/>
        <w:jc w:val="both"/>
        <w:rPr/>
      </w:pPr>
      <w:r>
        <w:rPr>
          <w:rFonts w:ascii="Times New Roman" w:hAnsi="Times New Roman"/>
          <w:b/>
          <w:color w:val="000000"/>
          <w:sz w:val="24"/>
        </w:rPr>
        <w:t>Form of Consideration</w:t>
      </w:r>
      <w:r>
        <w:rPr>
          <w:rFonts w:ascii="Times New Roman" w:hAnsi="Times New Roman"/>
          <w:color w:val="000000"/>
          <w:sz w:val="24"/>
        </w:rPr>
        <w:t xml:space="preserve">. The Administrator will determine the acceptable form of consideration for exercising an Option, including the method of payment. Such consideration may consist of any one of or a combination of the following: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any other consideration and method of payment for the issuance of Shares so long as permitted by Applicable Laws.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w:t>
      </w:r>
    </w:p>
    <w:p>
      <w:pPr>
        <w:pStyle w:val="TextBody"/>
        <w:bidi w:val="0"/>
        <w:spacing w:before="240" w:after="283"/>
        <w:jc w:val="both"/>
        <w:rPr/>
      </w:pPr>
      <w:r>
        <w:rPr>
          <w:rFonts w:ascii="Times New Roman" w:hAnsi="Times New Roman"/>
          <w:b/>
          <w:color w:val="000000"/>
          <w:sz w:val="24"/>
        </w:rPr>
        <w:t>Exercise of Option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6.6.1</w:t>
      </w:r>
    </w:p>
    <w:p>
      <w:pPr>
        <w:pStyle w:val="TextBody"/>
        <w:bidi w:val="0"/>
        <w:spacing w:before="240" w:after="283"/>
        <w:jc w:val="both"/>
        <w:rPr/>
      </w:pPr>
      <w:r>
        <w:rPr>
          <w:rFonts w:ascii="Times New Roman" w:hAnsi="Times New Roman"/>
          <w:b/>
          <w:color w:val="000000"/>
          <w:sz w:val="24"/>
        </w:rPr>
        <w:t>Procedure for Exercise; Rights as a Stockholder</w:t>
      </w:r>
      <w:r>
        <w:rPr>
          <w:rFonts w:ascii="Times New Roman" w:hAnsi="Times New Roman"/>
          <w:color w:val="000000"/>
          <w:sz w:val="24"/>
        </w:rPr>
        <w:t>. Any Option granted hereunder will be exercisable according to the terms of this Plan and at such times and under such conditions as determined by the Administrator and set forth in the Award Agreement. An Option may not be exercised for a fraction of a Share.</w:t>
      </w:r>
    </w:p>
    <w:p>
      <w:pPr>
        <w:pStyle w:val="TextBody"/>
        <w:bidi w:val="0"/>
        <w:spacing w:before="240" w:after="283"/>
        <w:jc w:val="both"/>
        <w:rPr>
          <w:rFonts w:ascii="Times New Roman" w:hAnsi="Times New Roman"/>
          <w:sz w:val="20"/>
        </w:rPr>
      </w:pPr>
      <w:r>
        <w:rPr>
          <w:rFonts w:ascii="Times New Roman" w:hAnsi="Times New Roman"/>
          <w:color w:val="000000"/>
          <w:sz w:val="24"/>
        </w:rPr>
        <w:t>An Option will be deemed exercised when the Company receives: (a) notice of exercise (in such form and in accordance with such procedures as the Administrator may specify from time to time) from the person entitled to exercise the Option; and (b) full payment of the exercise price for the Shares with respect to which the Option is exercised (together with applicable tax withholdings).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Exercising an Option in any manner will decrease the number of Shares thereafter available, both for purposes of this Plan (except as provided otherwise under Section 3.3) and for sale under the Option, by the number of Shares as to which the Option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6.6.2</w:t>
      </w:r>
    </w:p>
    <w:p>
      <w:pPr>
        <w:pStyle w:val="TextBody"/>
        <w:bidi w:val="0"/>
        <w:spacing w:before="240" w:after="283"/>
        <w:jc w:val="both"/>
        <w:rPr/>
      </w:pPr>
      <w:r>
        <w:rPr>
          <w:rFonts w:ascii="Times New Roman" w:hAnsi="Times New Roman"/>
          <w:b/>
          <w:color w:val="000000"/>
          <w:sz w:val="24"/>
        </w:rPr>
        <w:t>Termination of Relationship as a Service Provider</w:t>
      </w:r>
      <w:r>
        <w:rPr>
          <w:rFonts w:ascii="Times New Roman" w:hAnsi="Times New Roman"/>
          <w:color w:val="000000"/>
          <w:sz w:val="24"/>
        </w:rPr>
        <w:t>. If a Participant ceases to be a Service Provider, other than upon such cessation as the result of the Participant’s death or Disability, the Participant may exercise his or her Option within three (3) months of such cessation, or such shorter or longer period of time as may be specified in the Award Agreement, but in no event later than the expiration of the term of such Option as set forth in the Award Agreement or Section 6.4.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Award, the Shares covered by the unvested portion of the Award will revert to the Plan immediately. If after such cessation the Participant does not exercise his or her vested Options within the time specified by the Administrator, such Option will terminate, and the Shares covered by such Award will revert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6.6.3</w:t>
      </w:r>
    </w:p>
    <w:p>
      <w:pPr>
        <w:pStyle w:val="TextBody"/>
        <w:bidi w:val="0"/>
        <w:spacing w:before="240" w:after="283"/>
        <w:jc w:val="both"/>
        <w:rPr/>
      </w:pPr>
      <w:r>
        <w:rPr>
          <w:rFonts w:ascii="Times New Roman" w:hAnsi="Times New Roman"/>
          <w:b/>
          <w:color w:val="000000"/>
          <w:sz w:val="24"/>
        </w:rPr>
        <w:t>Disability of Participant</w:t>
      </w:r>
      <w:r>
        <w:rPr>
          <w:rFonts w:ascii="Times New Roman" w:hAnsi="Times New Roman"/>
          <w:color w:val="000000"/>
          <w:sz w:val="24"/>
        </w:rPr>
        <w:t xml:space="preserve">. If a Participant ceases to be a Service Provider as a result of the Participant’s Disability, the Participant may exercise his or her Option within six (6) months of cessation, or such longer or shorter period of time as may be specified in the Award Agreement (but in no event later than the expiration of the term of such Option as set forth in the Award Agreement or Section 6.4, as applicable) to the extent the Option is vested on such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Award, the Shares covered by the unvested portion of the Award will revert to the Plan immediately. If after such cessation the Participant does not exercise his or her vested Options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within the time specified herein, such Options will terminate, and the Shares covered by such Award will revert to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6.6.4</w:t>
      </w:r>
    </w:p>
    <w:p>
      <w:pPr>
        <w:pStyle w:val="TextBody"/>
        <w:bidi w:val="0"/>
        <w:spacing w:before="240" w:after="283"/>
        <w:jc w:val="both"/>
        <w:rPr/>
      </w:pPr>
      <w:r>
        <w:rPr>
          <w:rFonts w:ascii="Times New Roman" w:hAnsi="Times New Roman"/>
          <w:b/>
          <w:color w:val="000000"/>
          <w:sz w:val="24"/>
        </w:rPr>
        <w:t>Death of Participant</w:t>
      </w:r>
      <w:r>
        <w:rPr>
          <w:rFonts w:ascii="Times New Roman" w:hAnsi="Times New Roman"/>
          <w:color w:val="000000"/>
          <w:sz w:val="24"/>
        </w:rPr>
        <w:t>. If a Participant dies while a Service Provider, his or her vested Option may be exercised within six (6) months following the Participant’s death, or within such longer or shorter period of time as may be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 w:hAnsi="Times New Roman"/>
          <w:b/>
          <w:color w:val="000000"/>
          <w:sz w:val="24"/>
        </w:rPr>
        <w:t>Legal Representative</w:t>
      </w:r>
      <w:r>
        <w:rPr>
          <w:color w:val="000000"/>
        </w:rPr>
        <w:t>”</w:t>
      </w:r>
      <w:r>
        <w:rPr>
          <w:rFonts w:ascii="Times New Roman" w:hAnsi="Times New Roman"/>
          <w:color w:val="000000"/>
          <w:sz w:val="24"/>
        </w:rPr>
        <w:t xml:space="preserve">).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a Participant is not vested as to his or her entire Award, the Shares covered by the unvested portion of the Award will revert to the Plan immediately. If vested Options are not so exercised within the time specified herein, such Options will terminate, and the Shares covered by such Award will revert to the Plan.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6.6.5</w:t>
      </w:r>
    </w:p>
    <w:p>
      <w:pPr>
        <w:pStyle w:val="TextBody"/>
        <w:bidi w:val="0"/>
        <w:spacing w:before="240" w:after="283"/>
        <w:jc w:val="both"/>
        <w:rPr/>
      </w:pPr>
      <w:r>
        <w:rPr>
          <w:rFonts w:ascii="Times New Roman" w:hAnsi="Times New Roman"/>
          <w:b/>
          <w:color w:val="000000"/>
          <w:sz w:val="24"/>
        </w:rPr>
        <w:t>Tolling Expiration</w:t>
      </w:r>
      <w:r>
        <w:rPr>
          <w:rFonts w:ascii="Times New Roman" w:hAnsi="Times New Roman"/>
          <w:color w:val="000000"/>
          <w:sz w:val="24"/>
        </w:rPr>
        <w:t>. A Participant’s Award Agreement may also provide that: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pPr>
      <w:r>
        <w:rPr>
          <w:rFonts w:ascii="Times New Roman" w:hAnsi="Times New Roman"/>
          <w:color w:val="000000"/>
          <w:sz w:val="24"/>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w:t>
      </w:r>
      <w:r>
        <w:rPr>
          <w:rFonts w:ascii="Times New Roman" w:hAnsi="Times New Roman"/>
          <w:color w:val="000000"/>
          <w:sz w:val="16"/>
        </w:rPr>
        <w:t>th</w:t>
      </w:r>
      <w:r>
        <w:rPr>
          <w:rFonts w:ascii="Times New Roman" w:hAnsi="Times New Roman"/>
          <w:color w:val="000000"/>
          <w:sz w:val="24"/>
        </w:rPr>
        <w:t>) day after the last date on which such exercise would result in liability under Section 16b;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 xml:space="preserve">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both"/>
        <w:rPr/>
      </w:pPr>
      <w:r>
        <w:rPr>
          <w:rFonts w:ascii="Times New Roman" w:hAnsi="Times New Roman"/>
          <w:b/>
          <w:color w:val="000000"/>
          <w:sz w:val="24"/>
        </w:rPr>
        <w:t>Stock Appreciation Rights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7.1</w:t>
      </w:r>
    </w:p>
    <w:p>
      <w:pPr>
        <w:pStyle w:val="TextBody"/>
        <w:bidi w:val="0"/>
        <w:spacing w:before="240" w:after="283"/>
        <w:jc w:val="both"/>
        <w:rPr/>
      </w:pPr>
      <w:r>
        <w:rPr>
          <w:rFonts w:ascii="Times New Roman" w:hAnsi="Times New Roman"/>
          <w:b/>
          <w:color w:val="000000"/>
          <w:sz w:val="24"/>
        </w:rPr>
        <w:t>Grant of Stock Appreciation Rights</w:t>
      </w:r>
      <w:r>
        <w:rPr>
          <w:rFonts w:ascii="Times New Roman" w:hAnsi="Times New Roman"/>
          <w:color w:val="000000"/>
          <w:sz w:val="24"/>
        </w:rPr>
        <w:t xml:space="preserve">. Subject to the terms and conditions of this Plan, a Stock Appreciation Right may be granted to Service Providers at any time and from time to time as may be determined by the Administrator, in its sole discretion.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7.2</w:t>
      </w:r>
    </w:p>
    <w:p>
      <w:pPr>
        <w:pStyle w:val="TextBody"/>
        <w:bidi w:val="0"/>
        <w:spacing w:before="240" w:after="283"/>
        <w:jc w:val="both"/>
        <w:rPr/>
      </w:pPr>
      <w:r>
        <w:rPr>
          <w:rFonts w:ascii="Times New Roman" w:hAnsi="Times New Roman"/>
          <w:b/>
          <w:color w:val="000000"/>
          <w:sz w:val="24"/>
        </w:rPr>
        <w:t>Number of Shares</w:t>
      </w:r>
      <w:r>
        <w:rPr>
          <w:rFonts w:ascii="Times New Roman" w:hAnsi="Times New Roman"/>
          <w:color w:val="000000"/>
          <w:sz w:val="24"/>
        </w:rPr>
        <w:t>. Subject to the terms and conditions of this Plan, the Administrator will have complete discretion to determine the number of Shares subject to any Award of Stock Appreciation Rights.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7.3</w:t>
      </w:r>
    </w:p>
    <w:p>
      <w:pPr>
        <w:pStyle w:val="TextBody"/>
        <w:bidi w:val="0"/>
        <w:spacing w:before="240" w:after="283"/>
        <w:jc w:val="both"/>
        <w:rPr/>
      </w:pPr>
      <w:r>
        <w:rPr>
          <w:rFonts w:ascii="Times New Roman" w:hAnsi="Times New Roman"/>
          <w:b/>
          <w:color w:val="000000"/>
          <w:sz w:val="24"/>
        </w:rPr>
        <w:t>Exercise Price and Other Terms</w:t>
      </w:r>
      <w:r>
        <w:rPr>
          <w:rFonts w:ascii="Times New Roman" w:hAnsi="Times New Roman"/>
          <w:color w:val="000000"/>
          <w:sz w:val="24"/>
        </w:rPr>
        <w:t>. The per-Share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this Plan, will have complete discretion to determine the terms and conditions of Stock Appreciation Rights granted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7.4</w:t>
      </w:r>
    </w:p>
    <w:p>
      <w:pPr>
        <w:pStyle w:val="TextBody"/>
        <w:bidi w:val="0"/>
        <w:spacing w:before="240" w:after="283"/>
        <w:jc w:val="both"/>
        <w:rPr/>
      </w:pPr>
      <w:r>
        <w:rPr>
          <w:rFonts w:ascii="Times New Roman" w:hAnsi="Times New Roman"/>
          <w:b/>
          <w:color w:val="000000"/>
          <w:sz w:val="24"/>
        </w:rPr>
        <w:t>Stock Appreciation Right Agreement</w:t>
      </w:r>
      <w:r>
        <w:rPr>
          <w:rFonts w:ascii="Times New Roman" w:hAnsi="Times New Roman"/>
          <w:color w:val="000000"/>
          <w:sz w:val="24"/>
        </w:rPr>
        <w:t>. Each Stock Appreciation Right grant will be evidenced by an Award Agreement that will specify the exercise price, the term of the Stock Appreciation Right, the conditions of exercise and such other terms and conditions as the Administrator, in its sole discretion, may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7.5</w:t>
      </w:r>
    </w:p>
    <w:p>
      <w:pPr>
        <w:pStyle w:val="TextBody"/>
        <w:bidi w:val="0"/>
        <w:spacing w:before="240" w:after="283"/>
        <w:jc w:val="both"/>
        <w:rPr/>
      </w:pPr>
      <w:r>
        <w:rPr>
          <w:rFonts w:ascii="Times New Roman" w:hAnsi="Times New Roman"/>
          <w:b/>
          <w:color w:val="000000"/>
          <w:sz w:val="24"/>
        </w:rPr>
        <w:t>Term and Expiration of Stock Appreciation Rights</w:t>
      </w:r>
      <w:r>
        <w:rPr>
          <w:rFonts w:ascii="Times New Roman" w:hAnsi="Times New Roman"/>
          <w:color w:val="000000"/>
          <w:sz w:val="24"/>
        </w:rPr>
        <w:t>. A Stock Appreciation Right granted under this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7.6</w:t>
      </w:r>
    </w:p>
    <w:p>
      <w:pPr>
        <w:pStyle w:val="TextBody"/>
        <w:bidi w:val="0"/>
        <w:spacing w:before="240" w:after="283"/>
        <w:jc w:val="both"/>
        <w:rPr/>
      </w:pPr>
      <w:r>
        <w:rPr>
          <w:rFonts w:ascii="Times New Roman" w:hAnsi="Times New Roman"/>
          <w:b/>
          <w:color w:val="000000"/>
          <w:sz w:val="24"/>
        </w:rPr>
        <w:t>Payment of Stock Appreciation Right Amount</w:t>
      </w:r>
      <w:r>
        <w:rPr>
          <w:rFonts w:ascii="Times New Roman" w:hAnsi="Times New Roman"/>
          <w:color w:val="000000"/>
          <w:sz w:val="24"/>
        </w:rPr>
        <w:t>. Upon exercise of a Stock Appreciation Right, a Participant will be entitled to receive payment from the Company in an amount determined by multiplying:</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difference between the Fair Market Value of a Share on the date of exercise over the exercise price; times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(b)</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number of Shares with respect to which the Stock Appreciation Right is exercised.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At the discretion of the Administrator, such payment may be in cash, in Shares of equivalent value or in some combination thereof.</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both"/>
        <w:rPr/>
      </w:pPr>
      <w:r>
        <w:rPr>
          <w:rFonts w:ascii="Times New Roman" w:hAnsi="Times New Roman"/>
          <w:b/>
          <w:color w:val="000000"/>
          <w:sz w:val="24"/>
        </w:rPr>
        <w:t>Restricted Stock</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8.1</w:t>
      </w:r>
    </w:p>
    <w:p>
      <w:pPr>
        <w:pStyle w:val="TextBody"/>
        <w:bidi w:val="0"/>
        <w:spacing w:before="240" w:after="283"/>
        <w:jc w:val="both"/>
        <w:rPr/>
      </w:pPr>
      <w:r>
        <w:rPr>
          <w:rFonts w:ascii="Times New Roman" w:hAnsi="Times New Roman"/>
          <w:b/>
          <w:color w:val="000000"/>
          <w:sz w:val="24"/>
        </w:rPr>
        <w:t>Grant of Restricted Stock</w:t>
      </w:r>
      <w:r>
        <w:rPr>
          <w:rFonts w:ascii="Times New Roman" w:hAnsi="Times New Roman"/>
          <w:color w:val="000000"/>
          <w:sz w:val="24"/>
        </w:rPr>
        <w:t>. Subject to the terms and conditions of this Plan, the Administrator, at any time and from time to time, may grant Shares of Restricted Stock to Service Providers in such amounts as the Administrator, in its sole discretion, may determine.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8.2</w:t>
      </w:r>
    </w:p>
    <w:p>
      <w:pPr>
        <w:pStyle w:val="TextBody"/>
        <w:bidi w:val="0"/>
        <w:spacing w:before="240" w:after="283"/>
        <w:jc w:val="both"/>
        <w:rPr/>
      </w:pPr>
      <w:r>
        <w:rPr>
          <w:rFonts w:ascii="Times New Roman" w:hAnsi="Times New Roman"/>
          <w:b/>
          <w:color w:val="000000"/>
          <w:sz w:val="24"/>
        </w:rPr>
        <w:t>Restricted Stock Agreement</w:t>
      </w:r>
      <w:r>
        <w:rPr>
          <w:rFonts w:ascii="Times New Roman" w:hAnsi="Times New Roman"/>
          <w:color w:val="000000"/>
          <w:sz w:val="24"/>
        </w:rPr>
        <w:t xml:space="preserve">. Each Award of Restricted Stock will be evidenced by an Award Agreement that will specify the Period of Restriction (if any), the number of Shares granted and such other terms and conditions as the Administrator, in its sole discretion, may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Restriction and consideration for such Award is paid for by past services rendered as a Service Provider.</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8.3</w:t>
      </w:r>
    </w:p>
    <w:p>
      <w:pPr>
        <w:pStyle w:val="TextBody"/>
        <w:bidi w:val="0"/>
        <w:spacing w:before="240" w:after="283"/>
        <w:jc w:val="both"/>
        <w:rPr/>
      </w:pPr>
      <w:r>
        <w:rPr>
          <w:rFonts w:ascii="Times New Roman" w:hAnsi="Times New Roman"/>
          <w:b/>
          <w:color w:val="000000"/>
          <w:sz w:val="24"/>
        </w:rPr>
        <w:t>Transferability</w:t>
      </w:r>
      <w:r>
        <w:rPr>
          <w:rFonts w:ascii="Times New Roman" w:hAnsi="Times New Roman"/>
          <w:color w:val="000000"/>
          <w:sz w:val="24"/>
        </w:rPr>
        <w:t>. Except as provided in this Section 8 or as the Administrator may determine, Shares of Restricted Stock may not be sold, transferred, pledged, assigned or otherwise alienated or hypothecated until the end of the applicable Period of Restriction, subject to the terms of Section 14.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8.4</w:t>
      </w:r>
    </w:p>
    <w:p>
      <w:pPr>
        <w:pStyle w:val="TextBody"/>
        <w:bidi w:val="0"/>
        <w:spacing w:before="240" w:after="283"/>
        <w:jc w:val="both"/>
        <w:rPr/>
      </w:pPr>
      <w:r>
        <w:rPr>
          <w:rFonts w:ascii="Times New Roman" w:hAnsi="Times New Roman"/>
          <w:b/>
          <w:color w:val="000000"/>
          <w:sz w:val="24"/>
        </w:rPr>
        <w:t>Other Restrictions</w:t>
      </w:r>
      <w:r>
        <w:rPr>
          <w:rFonts w:ascii="Times New Roman" w:hAnsi="Times New Roman"/>
          <w:color w:val="000000"/>
          <w:sz w:val="24"/>
        </w:rPr>
        <w:t>. The Administrator, in its sole discretion, may impose such other restrictions on Shares of Restricted Stock as it may deem advisable or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8.5</w:t>
      </w:r>
    </w:p>
    <w:p>
      <w:pPr>
        <w:pStyle w:val="TextBody"/>
        <w:bidi w:val="0"/>
        <w:spacing w:before="240" w:after="283"/>
        <w:jc w:val="both"/>
        <w:rPr/>
      </w:pPr>
      <w:r>
        <w:rPr>
          <w:rFonts w:ascii="Times New Roman" w:hAnsi="Times New Roman"/>
          <w:b/>
          <w:color w:val="000000"/>
          <w:sz w:val="24"/>
        </w:rPr>
        <w:t>Removal of Restrictions</w:t>
      </w:r>
      <w:r>
        <w:rPr>
          <w:rFonts w:ascii="Times New Roman" w:hAnsi="Times New Roman"/>
          <w:color w:val="000000"/>
          <w:sz w:val="24"/>
        </w:rPr>
        <w:t xml:space="preserve">.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8.6</w:t>
      </w:r>
    </w:p>
    <w:p>
      <w:pPr>
        <w:pStyle w:val="TextBody"/>
        <w:bidi w:val="0"/>
        <w:spacing w:before="240" w:after="283"/>
        <w:jc w:val="both"/>
        <w:rPr/>
      </w:pPr>
      <w:r>
        <w:rPr>
          <w:rFonts w:ascii="Times New Roman" w:hAnsi="Times New Roman"/>
          <w:b/>
          <w:color w:val="000000"/>
          <w:sz w:val="24"/>
        </w:rPr>
        <w:t>Voting Rights</w:t>
      </w:r>
      <w:r>
        <w:rPr>
          <w:rFonts w:ascii="Times New Roman" w:hAnsi="Times New Roman"/>
          <w:color w:val="000000"/>
          <w:sz w:val="24"/>
        </w:rPr>
        <w:t>. During the Period of Restriction, Service Providers holding Shares of Restricted Stock granted hereunder may exercise full voting rights with respect to those Shares, unless the Administrator determines otherwise.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8.7</w:t>
      </w:r>
    </w:p>
    <w:p>
      <w:pPr>
        <w:pStyle w:val="TextBody"/>
        <w:bidi w:val="0"/>
        <w:spacing w:before="240" w:after="283"/>
        <w:jc w:val="both"/>
        <w:rPr/>
      </w:pPr>
      <w:r>
        <w:rPr>
          <w:rFonts w:ascii="Times New Roman" w:hAnsi="Times New Roman"/>
          <w:b/>
          <w:color w:val="000000"/>
          <w:sz w:val="24"/>
        </w:rPr>
        <w:t>Dividends and Other Distributions</w:t>
      </w:r>
      <w:r>
        <w:rPr>
          <w:rFonts w:ascii="Times New Roman" w:hAnsi="Times New Roman"/>
          <w:color w:val="000000"/>
          <w:sz w:val="24"/>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8.8</w:t>
      </w:r>
    </w:p>
    <w:p>
      <w:pPr>
        <w:pStyle w:val="TextBody"/>
        <w:bidi w:val="0"/>
        <w:spacing w:before="240" w:after="283"/>
        <w:jc w:val="both"/>
        <w:rPr/>
      </w:pPr>
      <w:r>
        <w:rPr>
          <w:rFonts w:ascii="Times New Roman" w:hAnsi="Times New Roman"/>
          <w:b/>
          <w:color w:val="000000"/>
          <w:sz w:val="24"/>
        </w:rPr>
        <w:t>Return of Restricted Stock to Company</w:t>
      </w:r>
      <w:r>
        <w:rPr>
          <w:rFonts w:ascii="Times New Roman" w:hAnsi="Times New Roman"/>
          <w:color w:val="000000"/>
          <w:sz w:val="24"/>
        </w:rPr>
        <w:t>. On the date set forth in the Award Agreement, the Restricted Stock for which restrictions have not lapsed will revert to the Company and again will become available for grant under this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pPr>
      <w:r>
        <w:rPr>
          <w:rFonts w:ascii="Times New Roman" w:hAnsi="Times New Roman"/>
          <w:b/>
          <w:color w:val="000000"/>
          <w:sz w:val="24"/>
        </w:rPr>
        <w:t>Restricted Stock Units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9.1</w:t>
      </w:r>
    </w:p>
    <w:p>
      <w:pPr>
        <w:pStyle w:val="TextBody"/>
        <w:bidi w:val="0"/>
        <w:spacing w:before="240" w:after="283"/>
        <w:jc w:val="both"/>
        <w:rPr/>
      </w:pPr>
      <w:r>
        <w:rPr>
          <w:rFonts w:ascii="Times New Roman" w:hAnsi="Times New Roman"/>
          <w:b/>
          <w:color w:val="000000"/>
          <w:sz w:val="24"/>
        </w:rPr>
        <w:t>Grant</w:t>
      </w:r>
      <w:r>
        <w:rPr>
          <w:rFonts w:ascii="Times New Roman" w:hAnsi="Times New Roman"/>
          <w:color w:val="000000"/>
          <w:sz w:val="24"/>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9.2</w:t>
      </w:r>
    </w:p>
    <w:p>
      <w:pPr>
        <w:pStyle w:val="TextBody"/>
        <w:bidi w:val="0"/>
        <w:spacing w:before="240" w:after="283"/>
        <w:jc w:val="both"/>
        <w:rPr/>
      </w:pPr>
      <w:r>
        <w:rPr>
          <w:rFonts w:ascii="Times New Roman" w:hAnsi="Times New Roman"/>
          <w:b/>
          <w:color w:val="000000"/>
          <w:sz w:val="24"/>
        </w:rPr>
        <w:t>Vesting Criteria and Other Terms</w:t>
      </w:r>
      <w:r>
        <w:rPr>
          <w:rFonts w:ascii="Times New Roman" w:hAnsi="Times New Roman"/>
          <w:color w:val="000000"/>
          <w:sz w:val="24"/>
        </w:rPr>
        <w:t>. The Administrator will set vesting criteria in its discretion that,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9.3</w:t>
      </w:r>
    </w:p>
    <w:p>
      <w:pPr>
        <w:pStyle w:val="TextBody"/>
        <w:bidi w:val="0"/>
        <w:spacing w:before="240" w:after="283"/>
        <w:jc w:val="both"/>
        <w:rPr/>
      </w:pPr>
      <w:r>
        <w:rPr>
          <w:rFonts w:ascii="Times New Roman" w:hAnsi="Times New Roman"/>
          <w:b/>
          <w:color w:val="000000"/>
          <w:sz w:val="24"/>
        </w:rPr>
        <w:t>Earning Restricted Stock Units</w:t>
      </w:r>
      <w:r>
        <w:rPr>
          <w:rFonts w:ascii="Times New Roman" w:hAnsi="Times New Roman"/>
          <w:color w:val="000000"/>
          <w:sz w:val="24"/>
        </w:rPr>
        <w:t xml:space="preserve">. Upon meeting the applicable vesting criteria, the Participant will be entitled to receive a payout as set forth in the Award Agreement.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the foregoing, at any time after the grant of Restricted Stock Units, the Administrator, in its sole discretion, may reduce or waive any vesting criteria that must be met to receive a payout.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9.4</w:t>
      </w:r>
    </w:p>
    <w:p>
      <w:pPr>
        <w:pStyle w:val="TextBody"/>
        <w:bidi w:val="0"/>
        <w:spacing w:before="240" w:after="283"/>
        <w:jc w:val="both"/>
        <w:rPr/>
      </w:pPr>
      <w:r>
        <w:rPr>
          <w:rFonts w:ascii="Times New Roman" w:hAnsi="Times New Roman"/>
          <w:b/>
          <w:color w:val="000000"/>
          <w:sz w:val="24"/>
        </w:rPr>
        <w:t>Form and Timing of Payment</w:t>
      </w:r>
      <w:r>
        <w:rPr>
          <w:rFonts w:ascii="Times New Roman" w:hAnsi="Times New Roman"/>
          <w:color w:val="000000"/>
          <w:sz w:val="24"/>
        </w:rPr>
        <w:t>. Payment of earned Restricted Stock Units will be made at the time(s) set forth in the Award Agreement. The Administrator, in its sole discretion, may settle earned Restricted Stock Units in cash, Shares or a combination of both.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9.5</w:t>
      </w:r>
    </w:p>
    <w:p>
      <w:pPr>
        <w:pStyle w:val="TextBody"/>
        <w:bidi w:val="0"/>
        <w:spacing w:before="240" w:after="283"/>
        <w:jc w:val="both"/>
        <w:rPr/>
      </w:pPr>
      <w:r>
        <w:rPr>
          <w:rFonts w:ascii="Times New Roman" w:hAnsi="Times New Roman"/>
          <w:b/>
          <w:color w:val="000000"/>
          <w:sz w:val="24"/>
        </w:rPr>
        <w:t>Cancellation</w:t>
      </w:r>
      <w:r>
        <w:rPr>
          <w:rFonts w:ascii="Times New Roman" w:hAnsi="Times New Roman"/>
          <w:color w:val="000000"/>
          <w:sz w:val="24"/>
        </w:rPr>
        <w:t>. On the date set forth in the Award Agreement, all unearned or unvested Restricted Stock Units will be forfeited to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left"/>
        <w:rPr/>
      </w:pPr>
      <w:r>
        <w:rPr>
          <w:rFonts w:ascii="Times New Roman" w:hAnsi="Times New Roman"/>
          <w:b/>
          <w:color w:val="000000"/>
          <w:sz w:val="24"/>
        </w:rPr>
        <w:t>Performance Awards</w:t>
      </w:r>
      <w:r>
        <w:rPr>
          <w:rFonts w:ascii="Times New Roman" w:hAnsi="Times New Roman"/>
          <w:color w:val="000000"/>
          <w:sz w:val="24"/>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10.1</w:t>
      </w:r>
    </w:p>
    <w:p>
      <w:pPr>
        <w:pStyle w:val="TextBody"/>
        <w:bidi w:val="0"/>
        <w:spacing w:before="240" w:after="283"/>
        <w:jc w:val="both"/>
        <w:rPr/>
      </w:pPr>
      <w:r>
        <w:rPr>
          <w:rFonts w:ascii="Times New Roman" w:hAnsi="Times New Roman"/>
          <w:b/>
          <w:color w:val="000000"/>
          <w:sz w:val="24"/>
        </w:rPr>
        <w:t>Award Agreement</w:t>
      </w:r>
      <w:r>
        <w:rPr>
          <w:rFonts w:ascii="Times New Roman" w:hAnsi="Times New Roman"/>
          <w:color w:val="000000"/>
          <w:sz w:val="24"/>
        </w:rPr>
        <w:t>. Each Performance Award will be evidenced by an Award Agreement that will specify any time period during which any performance objectives or other vesting provisions will be measured (“</w:t>
      </w:r>
      <w:r>
        <w:rPr>
          <w:rFonts w:ascii="Times New Roman" w:hAnsi="Times New Roman"/>
          <w:b/>
          <w:color w:val="000000"/>
          <w:sz w:val="24"/>
        </w:rPr>
        <w:t>Performance Period</w:t>
      </w:r>
      <w:r>
        <w:rPr>
          <w:color w:val="000000"/>
        </w:rPr>
        <w:t>”</w:t>
      </w:r>
      <w:r>
        <w:rPr>
          <w:rFonts w:ascii="Times New Roman" w:hAnsi="Times New Roman"/>
          <w:color w:val="000000"/>
          <w:sz w:val="24"/>
        </w:rPr>
        <w:t xml:space="preserve">), and such other terms and conditions as the Administrator may determine. Each Performance Award will have an initial value that is determined by the Administrator on or before its date of grant.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10.2</w:t>
      </w:r>
    </w:p>
    <w:p>
      <w:pPr>
        <w:pStyle w:val="TextBody"/>
        <w:bidi w:val="0"/>
        <w:spacing w:before="240" w:after="283"/>
        <w:jc w:val="both"/>
        <w:rPr/>
      </w:pPr>
      <w:r>
        <w:rPr>
          <w:rFonts w:ascii="Times New Roman" w:hAnsi="Times New Roman"/>
          <w:b/>
          <w:color w:val="000000"/>
          <w:sz w:val="24"/>
        </w:rPr>
        <w:t xml:space="preserve">Objectives or Vesting Provisions and Other Terms. </w:t>
      </w:r>
      <w:r>
        <w:rPr>
          <w:rFonts w:ascii="Times New Roman" w:hAnsi="Times New Roman"/>
          <w:color w:val="000000"/>
          <w:sz w:val="24"/>
        </w:rPr>
        <w:t>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10.3</w:t>
      </w:r>
    </w:p>
    <w:p>
      <w:pPr>
        <w:pStyle w:val="TextBody"/>
        <w:bidi w:val="0"/>
        <w:spacing w:before="240" w:after="283"/>
        <w:jc w:val="both"/>
        <w:rPr/>
      </w:pPr>
      <w:r>
        <w:rPr>
          <w:rFonts w:ascii="Times New Roman" w:hAnsi="Times New Roman"/>
          <w:b/>
          <w:color w:val="000000"/>
          <w:sz w:val="24"/>
        </w:rPr>
        <w:t>Earning Performance Awards</w:t>
      </w:r>
      <w:r>
        <w:rPr>
          <w:rFonts w:ascii="Times New Roman" w:hAnsi="Times New Roman"/>
          <w:color w:val="000000"/>
          <w:sz w:val="24"/>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10.4</w:t>
      </w:r>
    </w:p>
    <w:p>
      <w:pPr>
        <w:pStyle w:val="TextBody"/>
        <w:bidi w:val="0"/>
        <w:spacing w:before="240" w:after="283"/>
        <w:jc w:val="both"/>
        <w:rPr/>
      </w:pPr>
      <w:r>
        <w:rPr>
          <w:rFonts w:ascii="Times New Roman" w:hAnsi="Times New Roman"/>
          <w:b/>
          <w:color w:val="000000"/>
          <w:sz w:val="24"/>
        </w:rPr>
        <w:t>Form and Timing of Payment</w:t>
      </w:r>
      <w:r>
        <w:rPr>
          <w:rFonts w:ascii="Times New Roman" w:hAnsi="Times New Roman"/>
          <w:color w:val="000000"/>
          <w:sz w:val="24"/>
        </w:rPr>
        <w:t>. Payment of earned Performance Awards will be made at the time(s) set forth in the Award Agreement. The Administrator, in its sole discretion, may settle earned Performance Awards in cash, Shares or a combination of both.</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10.5</w:t>
      </w:r>
    </w:p>
    <w:p>
      <w:pPr>
        <w:pStyle w:val="TextBody"/>
        <w:bidi w:val="0"/>
        <w:spacing w:before="240" w:after="283"/>
        <w:jc w:val="both"/>
        <w:rPr/>
      </w:pPr>
      <w:r>
        <w:rPr>
          <w:rFonts w:ascii="Times New Roman" w:hAnsi="Times New Roman"/>
          <w:b/>
          <w:color w:val="000000"/>
          <w:sz w:val="24"/>
        </w:rPr>
        <w:t>Cancellation of Performance Awards</w:t>
      </w:r>
      <w:r>
        <w:rPr>
          <w:rFonts w:ascii="Times New Roman" w:hAnsi="Times New Roman"/>
          <w:color w:val="000000"/>
          <w:sz w:val="24"/>
        </w:rPr>
        <w:t>. On the date set forth in the Award Agreement, all unearned or unvested Performance Awards will be forfeited to the Company, and again will be available for grant under the Plan.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40" w:after="283"/>
        <w:jc w:val="both"/>
        <w:rPr/>
      </w:pPr>
      <w:r>
        <w:rPr>
          <w:rFonts w:ascii="Times New Roman" w:hAnsi="Times New Roman"/>
          <w:b/>
          <w:color w:val="000000"/>
          <w:sz w:val="24"/>
        </w:rPr>
        <w:t>Outside Director Award Limitations</w:t>
      </w:r>
      <w:r>
        <w:rPr>
          <w:rFonts w:ascii="Times New Roman" w:hAnsi="Times New Roman"/>
          <w:color w:val="000000"/>
          <w:sz w:val="24"/>
        </w:rPr>
        <w:t xml:space="preserve">. In any Fiscal Year, no Outside Director may be granted equity awards (including any Awards granted under this Plan), the value of which will be based on their grant date fair value determined in accordance with U.S. generally accepted accounting principles, and be provided any cash retainers or fees in amounts that, in the aggregate, exceed $750,000;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closing of the Mergers, will be excluded for purposes of this Section 11.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purposes of determining when cash retainers or fees are provided, any deferral elections to delay payout timing will be disregarded.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0" w:after="283"/>
        <w:jc w:val="both"/>
        <w:rPr/>
      </w:pPr>
      <w:r>
        <w:rPr>
          <w:rFonts w:ascii="Times New Roman" w:hAnsi="Times New Roman"/>
          <w:b/>
          <w:color w:val="000000"/>
          <w:sz w:val="24"/>
        </w:rPr>
        <w:t>Compliance With Section 409A</w:t>
      </w:r>
      <w:r>
        <w:rPr>
          <w:rFonts w:ascii="Times New Roman" w:hAnsi="Times New Roman"/>
          <w:color w:val="000000"/>
          <w:sz w:val="24"/>
        </w:rPr>
        <w:t>. This Plan and Awards issued hereunder are intended to be designed and operated in such a manner that is exempt from the application of, or complies with, the requirements of Section 409A such that the grant, payment, settlement or deferral will not be subject to the additional tax or interest applicable under Section 409A, except as otherwise determined in the sole discretion of the Administrator. Except as expressly determined otherwise by the Administrator, each payment or benefit under this Plan and under each Award Agreement is intended to constitute a separate payment for purposes of Section 1.409A-2(b)(2) of the U.S. Treasury Regulations. The Plan, each Award and each Award Agreement under the Plan is intended to be exempt from or meet the requirements of Section 409A and will be construed and interpreted in accordance with such intent (including with respect to any ambiguities or ambiguous terms), except to the extent the Administrator, in its sole discretion, expressly determines otherwise.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Notwithstanding the foregoing, in no event will the Company or any of its Parents or Subsidiaries have any responsibility, liability or obligation to reimburse, indemnify or hold harmless a Participant (or any other person) in respect of Awards, for any taxes, penalties or interest that may be imposed on, or other costs incurred by, a Participant (or any other person) as a result of or in connection with Section 409A.</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40" w:after="283"/>
        <w:jc w:val="both"/>
        <w:rPr/>
      </w:pPr>
      <w:r>
        <w:rPr>
          <w:rFonts w:ascii="Times New Roman" w:hAnsi="Times New Roman"/>
          <w:b/>
          <w:color w:val="000000"/>
          <w:sz w:val="24"/>
        </w:rPr>
        <w:t>Leaves of Absence/Transfer Between Locations</w:t>
      </w:r>
      <w:r>
        <w:rPr>
          <w:rFonts w:ascii="Times New Roman" w:hAnsi="Times New Roman"/>
          <w:color w:val="000000"/>
          <w:sz w:val="24"/>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Parents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hAnsi="Times New Roman"/>
          <w:color w:val="000000"/>
          <w:sz w:val="16"/>
        </w:rPr>
        <w:t>st</w:t>
      </w:r>
      <w:r>
        <w:rPr>
          <w:rFonts w:ascii="Times New Roman" w:hAnsi="Times New Roman"/>
          <w:color w:val="000000"/>
          <w:sz w:val="24"/>
        </w:rPr>
        <w:t>) day of such leave, any Incentive Stock Option held by the Participant will cease to be treated as an Incentive Stock Option and will be treated for tax purposes as a Nonstatutory Stock Option.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pPr>
      <w:r>
        <w:rPr>
          <w:rFonts w:ascii="Times New Roman" w:hAnsi="Times New Roman"/>
          <w:b/>
          <w:color w:val="000000"/>
          <w:sz w:val="24"/>
        </w:rPr>
        <w:t>Limited Transferability of Awards</w:t>
      </w:r>
      <w:r>
        <w:rPr>
          <w:rFonts w:ascii="Times New Roman" w:hAnsi="Times New Roman"/>
          <w:color w:val="000000"/>
          <w:sz w:val="24"/>
        </w:rPr>
        <w:t>.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40" w:after="283"/>
        <w:jc w:val="both"/>
        <w:rPr/>
      </w:pPr>
      <w:r>
        <w:rPr>
          <w:rFonts w:ascii="Times New Roman" w:hAnsi="Times New Roman"/>
          <w:b/>
          <w:color w:val="000000"/>
          <w:sz w:val="24"/>
        </w:rPr>
        <w:t>Adjustments; Dissolution or Liquidation; Merger or Change in Control</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15.1</w:t>
      </w:r>
    </w:p>
    <w:p>
      <w:pPr>
        <w:pStyle w:val="TextBody"/>
        <w:bidi w:val="0"/>
        <w:spacing w:before="240" w:after="283"/>
        <w:jc w:val="both"/>
        <w:rPr/>
      </w:pPr>
      <w:r>
        <w:rPr>
          <w:rFonts w:ascii="Times New Roman" w:hAnsi="Times New Roman"/>
          <w:b/>
          <w:color w:val="000000"/>
          <w:sz w:val="24"/>
        </w:rPr>
        <w:t>Adjustments</w:t>
      </w:r>
      <w:r>
        <w:rPr>
          <w:rFonts w:ascii="Times New Roman" w:hAnsi="Times New Roman"/>
          <w:color w:val="000000"/>
          <w:sz w:val="24"/>
        </w:rPr>
        <w:t xml:space="preserve">. In the event that any dividend or other distribution (whether in the form of cash, Shares, other securities or other property), recapitalization, stock split, reverse stock split, reorganization, merger, consolidation, split-up, spin-off, combination, reclassification, </w:t>
      </w:r>
    </w:p>
    <w:p>
      <w:pPr>
        <w:pStyle w:val="TextBody"/>
        <w:bidi w:val="0"/>
        <w:jc w:val="center"/>
        <w:rPr>
          <w:rFonts w:ascii="Times New Roman" w:hAnsi="Times New Roman"/>
          <w:color w:val="000000"/>
          <w:sz w:val="24"/>
        </w:rPr>
      </w:pPr>
      <w:r>
        <w:rPr>
          <w:rFonts w:ascii="Times New Roman" w:hAnsi="Times New Roman"/>
          <w:color w:val="000000"/>
          <w:sz w:val="24"/>
        </w:rPr>
        <w:t>-16-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as well as numerical Share limits in Section 3. Notwithstanding the foregoing, the Company will have no obligation to effect any adjustment in a manner that may require the issuance of fractional Shares, and any fractional Shares resulting from any adjustment may be disregarded or provided for in any manner determined by the Administrator, in its sole discretion, subject to any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15.2</w:t>
      </w:r>
    </w:p>
    <w:p>
      <w:pPr>
        <w:pStyle w:val="TextBody"/>
        <w:bidi w:val="0"/>
        <w:spacing w:before="240" w:after="283"/>
        <w:jc w:val="both"/>
        <w:rPr/>
      </w:pPr>
      <w:r>
        <w:rPr>
          <w:rFonts w:ascii="Times New Roman" w:hAnsi="Times New Roman"/>
          <w:b/>
          <w:color w:val="000000"/>
          <w:sz w:val="24"/>
        </w:rPr>
        <w:t>Dissolution or Liquidation</w:t>
      </w:r>
      <w:r>
        <w:rPr>
          <w:rFonts w:ascii="Times New Roman" w:hAnsi="Times New Roman"/>
          <w:color w:val="000000"/>
          <w:sz w:val="24"/>
        </w:rPr>
        <w:t>. In the event of the proposed dissolution or liquidation of the Company, the Administrator will notify each Participant as soon as practicable prior to the effective date of such proposed transaction. Unless provided otherwise by the Administrator, to the extent it has not been previously exercised (with respect to an Option or Stock Appreciation Right), vested (with respect to Restricted Stock) or settled (with respect to any other Awards), an Award will terminate immediately prior to the consummation of such proposed action.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15.3</w:t>
      </w:r>
    </w:p>
    <w:p>
      <w:pPr>
        <w:pStyle w:val="TextBody"/>
        <w:bidi w:val="0"/>
        <w:spacing w:before="240" w:after="283"/>
        <w:jc w:val="both"/>
        <w:rPr/>
      </w:pPr>
      <w:r>
        <w:rPr>
          <w:rFonts w:ascii="Times New Roman" w:hAnsi="Times New Roman"/>
          <w:b/>
          <w:color w:val="000000"/>
          <w:sz w:val="24"/>
        </w:rPr>
        <w:t>Merger or Change in Control</w:t>
      </w:r>
      <w:r>
        <w:rPr>
          <w:rFonts w:ascii="Times New Roman" w:hAnsi="Times New Roman"/>
          <w:color w:val="000000"/>
          <w:sz w:val="24"/>
        </w:rPr>
        <w:t xml:space="preserve">. In the event of a merger of the Company with or into another corporation or other entity or a Change in Control, each outstanding Award will be treated as the Administrator determines (subject to the provisions of the following paragraph) without a Participant’s consent, which may include, without limitation, that the outstanding Award will be: (a) assumed, or a substantially equivalent award(s) will be substituted, by the acquiring or succeeding entity (or an affiliate thereof) with appropriate adjustments as to the number and kind of shares and prices; (b) continued by the Company, subject to any adjustment pursuant to Section 15.1; (c) upon written notice to the Participant, terminate upon or immediately prior to the consummation of such merger or Change in Control; (d) vest and become exercisable, realizable or payable, or restrictions applicable to the Award will lapse, in whole or in part prior to or upon consummation of such merger or Change in Control, and, to the extent the Administrator determines, terminate upon or immediately prior to the effectiveness of such merger or Change in Control; (e) (i) terminated in exchange for an amount of cash and/or property, if any, equal to the amount that would have been attained upon the exercise of such Award or realization of the Participant’s rights as of the date of the occurrence of the transaction (and, for purposes of clarity, if as of the date of the occurrence of the transaction the Administrator determines in good faith that no amount would have been attained upon the exercise of such Award or realization of the Participant’s rights, then such Award will be terminated by the Company without payment), or (ii) replaced with other rights or property selected by the Administrator in its sole discretion; or (f) treated in any combination of the foregoing. In taking any of the actions permitted under this Section 15.3, the Administrator will not be obligated to treat all Awards, all Awards held by a Participant, all Awards of the same type, or all portions of Awards, similarly. </w:t>
      </w:r>
    </w:p>
    <w:p>
      <w:pPr>
        <w:pStyle w:val="TextBody"/>
        <w:bidi w:val="0"/>
        <w:spacing w:before="240" w:after="283"/>
        <w:jc w:val="both"/>
        <w:rPr>
          <w:rFonts w:ascii="Times New Roman" w:hAnsi="Times New Roman"/>
          <w:sz w:val="20"/>
        </w:rPr>
      </w:pPr>
      <w:r>
        <w:rPr>
          <w:rFonts w:ascii="Times New Roman" w:hAnsi="Times New Roman"/>
          <w:color w:val="000000"/>
          <w:sz w:val="24"/>
        </w:rPr>
        <w:t>In the event that the successor (or an affiliate thereof) does not assume the Award (or portion thereof) pursuant to the preceding clause (a) and as described below, or substitute for the Award (or portion thereof) pursuant to the preceding clause (a), and the Company does not continue the Award (or portion thereof) as described above, the Participant will fully vest in and have the right to exercise his or her outstanding Options and Stock Appreciation Rights (or portions thereof) not so assumed, substituted for or continued, including Shares as to which such Awards would not otherwise be vested or exercisable, all restrictions on Restricted Stock, Restricted Stock Units, or Performance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Awards (or portions thereof) not so assumed, substituted for or continued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to the extent an Option or Stock Appreciation Right (or portion thereof) is not so assumed, substituted for or continued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or its Parent, the Administrator may, with the consent of the successor, provide for the consideration to be received upon the exercise of an Option or Stock Appreciation Right or upon the payout of a Restricted Stock Unit or Performance Award, for each Share subject to such Award, to be solely common stock of the successor or its Parent equal in fair market value to the per share consideration received by holders of Common Stock in the merger or Change in Control.</w:t>
      </w:r>
    </w:p>
    <w:p>
      <w:pPr>
        <w:pStyle w:val="TextBody"/>
        <w:bidi w:val="0"/>
        <w:spacing w:before="240" w:after="283"/>
        <w:jc w:val="both"/>
        <w:rPr>
          <w:rFonts w:ascii="Times New Roman" w:hAnsi="Times New Roman"/>
          <w:sz w:val="20"/>
        </w:rPr>
      </w:pPr>
      <w:r>
        <w:rPr>
          <w:rFonts w:ascii="Times New Roman" w:hAnsi="Times New Roman"/>
          <w:color w:val="000000"/>
          <w:sz w:val="24"/>
        </w:rPr>
        <w:t>Notwithstanding anything in this Section 15.3 to the contrary, and unless otherwise provided under an Award Agreement or other written agreement authorized by the Administrator between the Participant and the Company or any of its Subsidiaries or Parents, as applicable, an Award that vests, is earned or paid out upon the satisfaction of one or more performance goals will not be considered assumed if the Company or its successor modifies any of such performance goals without the Participant’s consent; provided, however, that a modification to such performance goals only to reflect the successor’s post-merger or post-Change in Control corporate structure will not be deemed to invalidate an otherwise valid Award assumption.</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anything in this Section 15.3 to the contrary, and unless otherwise provided in an Award Agreement or other written agreement authorized by the Administrator between the Participant and the Company or any of its Subsidiaries or Parents, as applicable, if a payment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otherwise would be accelerated under this Section will be delayed until the earliest time that such payment would be permissible under Section 409A without triggering any penalties thereunder.</w:t>
      </w:r>
    </w:p>
    <w:p>
      <w:pPr>
        <w:pStyle w:val="TextBody"/>
        <w:bidi w:val="0"/>
        <w:jc w:val="center"/>
        <w:rPr>
          <w:rFonts w:ascii="Times New Roman" w:hAnsi="Times New Roman"/>
          <w:color w:val="000000"/>
          <w:sz w:val="24"/>
        </w:rPr>
      </w:pPr>
      <w:r>
        <w:rPr>
          <w:rFonts w:ascii="Times New Roman" w:hAnsi="Times New Roman"/>
          <w:color w:val="000000"/>
          <w:sz w:val="24"/>
        </w:rPr>
        <w:t>-18-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15.4</w:t>
      </w:r>
    </w:p>
    <w:p>
      <w:pPr>
        <w:pStyle w:val="TextBody"/>
        <w:bidi w:val="0"/>
        <w:spacing w:before="240" w:after="283"/>
        <w:jc w:val="both"/>
        <w:rPr/>
      </w:pPr>
      <w:r>
        <w:rPr>
          <w:rFonts w:ascii="Times New Roman" w:hAnsi="Times New Roman"/>
          <w:b/>
          <w:color w:val="000000"/>
          <w:sz w:val="24"/>
        </w:rPr>
        <w:t>Outside Director Awards</w:t>
      </w:r>
      <w:r>
        <w:rPr>
          <w:rFonts w:ascii="Times New Roman" w:hAnsi="Times New Roman"/>
          <w:color w:val="000000"/>
          <w:sz w:val="24"/>
        </w:rPr>
        <w:t>. With respect to Awards granted to an Outside Director while such individual was an Outside Director that are assumed or substituted for, if on the date of or following such assumption or substitution the Participant’s status as a Director or a director of the successor, as applicable, is terminated other than upon a voluntary resignation by the Participant (unless such resignation is at the request of the acquirer), then the Participant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left"/>
        <w:rPr/>
      </w:pPr>
      <w:r>
        <w:rPr>
          <w:rFonts w:ascii="Times New Roman" w:hAnsi="Times New Roman"/>
          <w:b/>
          <w:color w:val="000000"/>
          <w:sz w:val="24"/>
        </w:rPr>
        <w:t>Tax Withholding</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16.1</w:t>
      </w:r>
    </w:p>
    <w:p>
      <w:pPr>
        <w:pStyle w:val="TextBody"/>
        <w:bidi w:val="0"/>
        <w:spacing w:before="240" w:after="283"/>
        <w:jc w:val="both"/>
        <w:rPr/>
      </w:pPr>
      <w:r>
        <w:rPr>
          <w:rFonts w:ascii="Times New Roman" w:hAnsi="Times New Roman"/>
          <w:b/>
          <w:color w:val="000000"/>
          <w:sz w:val="24"/>
        </w:rPr>
        <w:t>Withholding Requirements</w:t>
      </w:r>
      <w:r>
        <w:rPr>
          <w:rFonts w:ascii="Times New Roman" w:hAnsi="Times New Roman"/>
          <w:color w:val="000000"/>
          <w:sz w:val="24"/>
        </w:rPr>
        <w:t>. Prior to the delivery of any Shares or cash pursuant to an Award (or exercise thereof) or such earlier time as any tax withholdings are due, the Company (or any of its Parents, Subsidiaries or affiliates employing or retaining the services of a Participant, as applicable) will have the power and the right to deduct or withhold, or require a Participant to remit to the Company (or any of its Parents, Subsidiaries, or affiliates, as applicable)</w:t>
      </w:r>
      <w:r>
        <w:rPr>
          <w:color w:val="1F3864"/>
        </w:rPr>
        <w:t xml:space="preserve"> </w:t>
      </w:r>
      <w:r>
        <w:rPr>
          <w:rFonts w:ascii="Times New Roman" w:hAnsi="Times New Roman"/>
          <w:color w:val="000000"/>
          <w:sz w:val="24"/>
        </w:rPr>
        <w:t>or a relevant tax authority, an amount sufficient to satisfy U.S. federal, state, local, non</w:t>
        <w:noBreakHyphen/>
        <w:t xml:space="preserve">U.S. and other taxes (including the Participant’s FICA or other social insurance contribution obligation) required to be withheld or paid with respect to such Award (or exercise thereof).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16.2</w:t>
      </w:r>
    </w:p>
    <w:p>
      <w:pPr>
        <w:pStyle w:val="TextBody"/>
        <w:bidi w:val="0"/>
        <w:spacing w:before="240" w:after="283"/>
        <w:jc w:val="both"/>
        <w:rPr/>
      </w:pPr>
      <w:r>
        <w:rPr>
          <w:rFonts w:ascii="Times New Roman" w:hAnsi="Times New Roman"/>
          <w:b/>
          <w:color w:val="000000"/>
          <w:sz w:val="24"/>
        </w:rPr>
        <w:t>Withholding Arrangements</w:t>
      </w:r>
      <w:r>
        <w:rPr>
          <w:rFonts w:ascii="Times New Roman" w:hAnsi="Times New Roman"/>
          <w:color w:val="000000"/>
          <w:sz w:val="24"/>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provided, in each case, that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w:t>
      </w:r>
      <w:r>
        <w:rPr>
          <w:color w:val="1F3864"/>
        </w:rPr>
        <w:t xml:space="preserve"> </w:t>
      </w:r>
      <w:r>
        <w:rPr>
          <w:rFonts w:ascii="Times New Roman" w:hAnsi="Times New Roman"/>
          <w:color w:val="000000"/>
          <w:sz w:val="24"/>
        </w:rPr>
        <w:t xml:space="preserve">or such greater amount as the Administrator may determine; provided, in each case, that the delivery of such Shares will not result in any adverse accounting consequences, as the Administrator determines in its sole discretion; (e) such other consideration and method of payment for the meeting of tax liabilities or withholding obligations as the Administrator may determine to the extent permitted by Applicable Laws; or (f) any combination of the foregoing. The amount of the withholding obligation will be deemed to include any amount that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w:t>
      </w:r>
    </w:p>
    <w:p>
      <w:pPr>
        <w:pStyle w:val="TextBody"/>
        <w:bidi w:val="0"/>
        <w:jc w:val="center"/>
        <w:rPr>
          <w:rFonts w:ascii="Times New Roman" w:hAnsi="Times New Roman"/>
          <w:color w:val="000000"/>
          <w:sz w:val="24"/>
        </w:rPr>
      </w:pPr>
      <w:r>
        <w:rPr>
          <w:rFonts w:ascii="Times New Roman" w:hAnsi="Times New Roman"/>
          <w:color w:val="000000"/>
          <w:sz w:val="24"/>
        </w:rPr>
        <w:t>-19-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40" w:after="283"/>
        <w:jc w:val="both"/>
        <w:rPr/>
      </w:pPr>
      <w:r>
        <w:rPr>
          <w:rFonts w:ascii="Times New Roman" w:hAnsi="Times New Roman"/>
          <w:b/>
          <w:color w:val="000000"/>
          <w:sz w:val="24"/>
        </w:rPr>
        <w:t>No Effect on Employment or Service</w:t>
      </w:r>
      <w:r>
        <w:rPr>
          <w:rFonts w:ascii="Times New Roman" w:hAnsi="Times New Roman"/>
          <w:color w:val="000000"/>
          <w:sz w:val="24"/>
        </w:rPr>
        <w:t>.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the Company and its Subsidiaries or Parents, as applicable, to terminate such relationship at any time with or without cause, free from any liability or claim under the Plan, to the extent permitted by Applicable Laws.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18.</w:t>
      </w:r>
    </w:p>
    <w:p>
      <w:pPr>
        <w:pStyle w:val="TextBody"/>
        <w:bidi w:val="0"/>
        <w:spacing w:before="240" w:after="283"/>
        <w:jc w:val="both"/>
        <w:rPr/>
      </w:pPr>
      <w:r>
        <w:rPr>
          <w:rFonts w:ascii="Times New Roman" w:hAnsi="Times New Roman"/>
          <w:b/>
          <w:color w:val="000000"/>
          <w:sz w:val="24"/>
        </w:rPr>
        <w:t>Date of Grant</w:t>
      </w:r>
      <w:r>
        <w:rPr>
          <w:rFonts w:ascii="Times New Roman" w:hAnsi="Times New Roman"/>
          <w:color w:val="000000"/>
          <w:sz w:val="24"/>
        </w:rPr>
        <w:t>. The date of grant of an Award will be, for all purposes, the date on which the Administrator makes the determination to grant such Award, or such other later date as may be determined by the Administrator. Notice of the determination will be provided to each Participant within a reasonable time after the date of such grant.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19.</w:t>
      </w:r>
    </w:p>
    <w:p>
      <w:pPr>
        <w:pStyle w:val="TextBody"/>
        <w:bidi w:val="0"/>
        <w:spacing w:before="240" w:after="283"/>
        <w:jc w:val="both"/>
        <w:rPr/>
      </w:pPr>
      <w:r>
        <w:rPr>
          <w:rFonts w:ascii="Times New Roman" w:hAnsi="Times New Roman"/>
          <w:b/>
          <w:color w:val="000000"/>
          <w:sz w:val="24"/>
        </w:rPr>
        <w:t>Term of Plan</w:t>
      </w:r>
      <w:r>
        <w:rPr>
          <w:rFonts w:ascii="Times New Roman" w:hAnsi="Times New Roman"/>
          <w:color w:val="000000"/>
          <w:sz w:val="24"/>
        </w:rPr>
        <w:t>. Subject to Section 23, this Plan will become effective upon the latest to occur of (a) its initial adoption by the Board, (b) initial approval by the Company’s stockholders or (c) the Effective Time. The Plan will continue in effect for a term of ten (10) years from its effectiveness, unless terminated earlier under Section 20. Notwithstanding the foregoing, no Options that qualify as incentive stock options within the meaning of Code Section 422 may be granted after ten (10) years from the earlier of the Board or stockholder approval of this Plan (or if earlier, upon termination of this Plan pursuant to Section 20).</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w:t>
      </w:r>
    </w:p>
    <w:p>
      <w:pPr>
        <w:pStyle w:val="TextBody"/>
        <w:bidi w:val="0"/>
        <w:spacing w:before="240" w:after="283"/>
        <w:jc w:val="both"/>
        <w:rPr/>
      </w:pPr>
      <w:r>
        <w:rPr>
          <w:rFonts w:ascii="Times New Roman" w:hAnsi="Times New Roman"/>
          <w:b/>
          <w:color w:val="000000"/>
          <w:sz w:val="24"/>
        </w:rPr>
        <w:t>Amendment and Termination of this Plan</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20.1</w:t>
      </w:r>
    </w:p>
    <w:p>
      <w:pPr>
        <w:pStyle w:val="TextBody"/>
        <w:bidi w:val="0"/>
        <w:spacing w:before="240" w:after="283"/>
        <w:jc w:val="both"/>
        <w:rPr/>
      </w:pPr>
      <w:r>
        <w:rPr>
          <w:rFonts w:ascii="Times New Roman" w:hAnsi="Times New Roman"/>
          <w:b/>
          <w:color w:val="000000"/>
          <w:sz w:val="24"/>
        </w:rPr>
        <w:t>Amendment and Termination</w:t>
      </w:r>
      <w:r>
        <w:rPr>
          <w:rFonts w:ascii="Times New Roman" w:hAnsi="Times New Roman"/>
          <w:color w:val="000000"/>
          <w:sz w:val="24"/>
        </w:rPr>
        <w:t xml:space="preserve">. The Administrator, in its sole discretion, may amend, alter, suspend or terminate the Plan, or any part thereof, at any time and for any reason.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20.2</w:t>
      </w:r>
    </w:p>
    <w:p>
      <w:pPr>
        <w:pStyle w:val="TextBody"/>
        <w:bidi w:val="0"/>
        <w:spacing w:before="240" w:after="283"/>
        <w:jc w:val="both"/>
        <w:rPr/>
      </w:pPr>
      <w:r>
        <w:rPr>
          <w:rFonts w:ascii="Times New Roman" w:hAnsi="Times New Roman"/>
          <w:b/>
          <w:color w:val="000000"/>
          <w:sz w:val="24"/>
        </w:rPr>
        <w:t>Stockholder Approval</w:t>
      </w:r>
      <w:r>
        <w:rPr>
          <w:rFonts w:ascii="Times New Roman" w:hAnsi="Times New Roman"/>
          <w:color w:val="000000"/>
          <w:sz w:val="24"/>
        </w:rPr>
        <w:t xml:space="preserve">. The Company will obtain stockholder approval of any Plan amendment to the extent necessary and desirable to comply with Applicable Laws.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20.3</w:t>
      </w:r>
    </w:p>
    <w:p>
      <w:pPr>
        <w:pStyle w:val="TextBody"/>
        <w:bidi w:val="0"/>
        <w:spacing w:before="240" w:after="283"/>
        <w:jc w:val="both"/>
        <w:rPr/>
      </w:pPr>
      <w:r>
        <w:rPr>
          <w:rFonts w:ascii="Times New Roman" w:hAnsi="Times New Roman"/>
          <w:b/>
          <w:color w:val="000000"/>
          <w:sz w:val="24"/>
        </w:rPr>
        <w:t>Effect of Amendment or Termination</w:t>
      </w:r>
      <w:r>
        <w:rPr>
          <w:rFonts w:ascii="Times New Roman" w:hAnsi="Times New Roman"/>
          <w:color w:val="000000"/>
          <w:sz w:val="24"/>
        </w:rPr>
        <w:t>. No amendment, alteration, suspension or termination of this Plan will materially impair the rights of any Participant under an outstanding Award, unless mutually agreed otherwise between the Participant and the Administrator, which agreement must be in writing and signed by the Participant and the Company; provided that the conversion of the Participant’s Incentive Stock Options into Nonstatutory Stock Options as a result of any actions taken by the Administrator will neither constitute nor contribute toward constituting an impairment of the Participant’s rights under an outstanding Award for purposes of this Section 20.3. Termination of this Plan will not affect the Administrator’s ability to exercise the powers granted to it hereunder with respect to Awards granted under the Plan prior to the date of such termination.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w:t>
      </w:r>
    </w:p>
    <w:p>
      <w:pPr>
        <w:pStyle w:val="TextBody"/>
        <w:bidi w:val="0"/>
        <w:spacing w:before="240" w:after="283"/>
        <w:jc w:val="both"/>
        <w:rPr/>
      </w:pPr>
      <w:r>
        <w:rPr>
          <w:rFonts w:ascii="Times New Roman" w:hAnsi="Times New Roman"/>
          <w:b/>
          <w:color w:val="000000"/>
          <w:sz w:val="24"/>
        </w:rPr>
        <w:t>Conditions Upon Issuance of Shares</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21.1</w:t>
      </w:r>
    </w:p>
    <w:p>
      <w:pPr>
        <w:pStyle w:val="TextBody"/>
        <w:bidi w:val="0"/>
        <w:spacing w:before="240" w:after="283"/>
        <w:jc w:val="both"/>
        <w:rPr/>
      </w:pPr>
      <w:r>
        <w:rPr>
          <w:rFonts w:ascii="Times New Roman" w:hAnsi="Times New Roman"/>
          <w:b/>
          <w:color w:val="000000"/>
          <w:sz w:val="24"/>
        </w:rPr>
        <w:t>Legal Compliance</w:t>
      </w:r>
      <w:r>
        <w:rPr>
          <w:rFonts w:ascii="Times New Roman" w:hAnsi="Times New Roman"/>
          <w:color w:val="000000"/>
          <w:sz w:val="24"/>
        </w:rPr>
        <w:t xml:space="preserve">. Shares will not be issued pursuant to an Award, including without limitation upon exercise or vesting thereof, as applicable, unless the issuance and delivery of such Shares and unless the exercise or vesting of the Award, if and as applicable, and the issuance and </w:t>
      </w:r>
    </w:p>
    <w:p>
      <w:pPr>
        <w:pStyle w:val="TextBody"/>
        <w:bidi w:val="0"/>
        <w:jc w:val="center"/>
        <w:rPr>
          <w:rFonts w:ascii="Times New Roman" w:hAnsi="Times New Roman"/>
          <w:color w:val="000000"/>
          <w:sz w:val="24"/>
        </w:rPr>
      </w:pPr>
      <w:r>
        <w:rPr>
          <w:rFonts w:ascii="Times New Roman" w:hAnsi="Times New Roman"/>
          <w:color w:val="000000"/>
          <w:sz w:val="24"/>
        </w:rPr>
        <w:t>-20-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pPr>
      <w:r>
        <w:rPr>
          <w:rFonts w:ascii="Times New Roman" w:hAnsi="Times New Roman"/>
          <w:color w:val="000000"/>
          <w:sz w:val="24"/>
        </w:rPr>
        <w:t>delivery of such Shares will comply with Applicable Laws. If required by the Administrator, issuance will be further subject to the approval of counsel for the Company with respect to such compliance.</w:t>
      </w:r>
      <w:r>
        <w:rPr>
          <w:color w:val="00000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21.2</w:t>
      </w:r>
    </w:p>
    <w:p>
      <w:pPr>
        <w:pStyle w:val="TextBody"/>
        <w:bidi w:val="0"/>
        <w:spacing w:before="240" w:after="283"/>
        <w:jc w:val="both"/>
        <w:rPr/>
      </w:pPr>
      <w:r>
        <w:rPr>
          <w:rFonts w:ascii="Times New Roman" w:hAnsi="Times New Roman"/>
          <w:b/>
          <w:color w:val="000000"/>
          <w:sz w:val="24"/>
        </w:rPr>
        <w:t>Investment Representations</w:t>
      </w:r>
      <w:r>
        <w:rPr>
          <w:rFonts w:ascii="Times New Roman" w:hAnsi="Times New Roman"/>
          <w:color w:val="000000"/>
          <w:sz w:val="24"/>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22.</w:t>
      </w:r>
    </w:p>
    <w:p>
      <w:pPr>
        <w:pStyle w:val="TextBody"/>
        <w:bidi w:val="0"/>
        <w:spacing w:before="240" w:after="283"/>
        <w:jc w:val="both"/>
        <w:rPr/>
      </w:pPr>
      <w:r>
        <w:rPr>
          <w:rFonts w:ascii="Times New Roman" w:hAnsi="Times New Roman"/>
          <w:b/>
          <w:color w:val="000000"/>
          <w:sz w:val="24"/>
        </w:rPr>
        <w:t>Inability to Obtain Authority</w:t>
      </w:r>
      <w:r>
        <w:rPr>
          <w:rFonts w:ascii="Times New Roman" w:hAnsi="Times New Roman"/>
          <w:color w:val="000000"/>
          <w:sz w:val="24"/>
        </w:rPr>
        <w:t>. If the Company determines it to be impossible or impractical to obtain authority from any regulatory body having jurisdiction or to complete or comply with the requirements of any registration or other qualification of the Shares under any U.S. state or federal law or non</w:t>
        <w:noBreakHyphen/>
        <w:t xml:space="preserve">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23.</w:t>
      </w:r>
    </w:p>
    <w:p>
      <w:pPr>
        <w:pStyle w:val="TextBody"/>
        <w:bidi w:val="0"/>
        <w:spacing w:before="240" w:after="283"/>
        <w:jc w:val="both"/>
        <w:rPr/>
      </w:pPr>
      <w:r>
        <w:rPr>
          <w:rFonts w:ascii="Times New Roman" w:hAnsi="Times New Roman"/>
          <w:b/>
          <w:color w:val="000000"/>
          <w:sz w:val="24"/>
        </w:rPr>
        <w:t>Stockholder Approval</w:t>
      </w:r>
      <w:r>
        <w:rPr>
          <w:rFonts w:ascii="Times New Roman" w:hAnsi="Times New Roman"/>
          <w:color w:val="000000"/>
          <w:sz w:val="24"/>
        </w:rPr>
        <w:t xml:space="preserve">. The Plan will be subject to approval by the stockholders of the Company within twelve (12) months after the date the Plan is adopted by the Board. Such stockholder approval will be obtained in the manner and to the degree required under Applicable Laws.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24.</w:t>
      </w:r>
    </w:p>
    <w:p>
      <w:pPr>
        <w:pStyle w:val="TextBody"/>
        <w:bidi w:val="0"/>
        <w:spacing w:before="240" w:after="283"/>
        <w:jc w:val="both"/>
        <w:rPr/>
      </w:pPr>
      <w:r>
        <w:rPr>
          <w:rFonts w:ascii="Times New Roman" w:hAnsi="Times New Roman"/>
          <w:b/>
          <w:color w:val="000000"/>
          <w:sz w:val="24"/>
        </w:rPr>
        <w:t>Forfeiture Events</w:t>
      </w:r>
      <w:r>
        <w:rPr>
          <w:rFonts w:ascii="Times New Roman" w:hAnsi="Times New Roman"/>
          <w:color w:val="000000"/>
          <w:sz w:val="24"/>
        </w:rPr>
        <w:t>. The Administrator may specify in an Award Agreement that the Participant’s rights, payments and benefits with respect to an Award will be subject to reduction, cancellation, forfeiture, recoupment, reimbursement or reacquisition upon the occurrence of certain specified events, in addition to any otherwise applicable vesting or performance conditions of an Award. Such events may include, without limitation, termination of such Participant’s status as an employee or other service provider for cause or any specified action or inaction by a Participant, whether before or after such termination of employment or other service, that would constitute cause for termination of such Participant’s status as an employee or other service provider. Notwithstanding any provisions to the contrary under this Plan, all Awards granted under the Plan will be subject to reduction, cancellation, forfeiture, recoupment, reimbursement or reacquisition under any clawback policy that may be in effect at grant and any other clawback policy that the Company is required to adopt to comply with Applicable Laws, including without limitation pursuant to the listing standards of any national securities exchange or association on which the Company’s securities are listed or otherwise required by the Dodd-Frank Wall Street Reform and Consumer Protection Act (collectively, the “</w:t>
      </w:r>
      <w:r>
        <w:rPr>
          <w:rFonts w:ascii="Times New Roman" w:hAnsi="Times New Roman"/>
          <w:b/>
          <w:color w:val="000000"/>
          <w:sz w:val="24"/>
        </w:rPr>
        <w:t>Clawback Policy</w:t>
      </w:r>
      <w:r>
        <w:rPr>
          <w:color w:val="000000"/>
        </w:rPr>
        <w:t>”</w:t>
      </w:r>
      <w:r>
        <w:rPr>
          <w:rFonts w:ascii="Times New Roman" w:hAnsi="Times New Roman"/>
          <w:color w:val="000000"/>
          <w:sz w:val="24"/>
        </w:rPr>
        <w:t xml:space="preserve">). The Administrator may require a Participant to forfeit, return or reimburse the Company for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will constitute an event that triggers or contributes to any right of a Participant to resign for “good reason” or </w:t>
      </w:r>
    </w:p>
    <w:p>
      <w:pPr>
        <w:pStyle w:val="TextBody"/>
        <w:bidi w:val="0"/>
        <w:jc w:val="center"/>
        <w:rPr>
          <w:rFonts w:ascii="Times New Roman" w:hAnsi="Times New Roman"/>
          <w:color w:val="000000"/>
          <w:sz w:val="24"/>
        </w:rPr>
      </w:pPr>
      <w:r>
        <w:rPr>
          <w:rFonts w:ascii="Times New Roman" w:hAnsi="Times New Roman"/>
          <w:color w:val="000000"/>
          <w:sz w:val="24"/>
        </w:rPr>
        <w:t>-21-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color w:val="000000"/>
        </w:rPr>
      </w:pPr>
      <w:r>
        <w:rPr>
          <w:color w:val="000000"/>
        </w:rPr>
        <w:t>“</w:t>
      </w:r>
      <w:r>
        <w:rPr>
          <w:rFonts w:ascii="Times New Roman" w:hAnsi="Times New Roman"/>
          <w:color w:val="000000"/>
          <w:sz w:val="24"/>
        </w:rPr>
        <w:t>constructive termination” (or similar term) under any agreement with the Company or any Parent or Subsidiary of the Company.</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 * *</w:t>
      </w:r>
    </w:p>
    <w:p>
      <w:pPr>
        <w:pStyle w:val="TextBody"/>
        <w:bidi w:val="0"/>
        <w:spacing w:before="240" w:after="283"/>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-22-</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12406</Words>
  <Characters>64582</Characters>
  <CharactersWithSpaces>76685</CharactersWithSpaces>
  <Paragraphs>553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