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okur-20260807.htm"/>
      <w:bookmarkStart w:id="1" w:name="ksokur20260807"/>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07,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OnKure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49"/>
        <w:gridCol w:w="865"/>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001-40315</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47-2309515</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6707 Winchester Circle, #400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Boulder, Colorado</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80301</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 (720)</w:t>
            </w:r>
            <w:r>
              <w:rPr>
                <w:rFonts w:ascii="Times New Roman" w:hAnsi="Times New Roman"/>
                <w:color w:val="000000"/>
                <w:sz w:val="20"/>
              </w:rPr>
              <w:t xml:space="preserve"> </w:t>
            </w:r>
            <w:r>
              <w:rPr>
                <w:rFonts w:ascii="Times New Roman" w:hAnsi="Times New Roman"/>
                <w:b/>
                <w:color w:val="000000"/>
                <w:sz w:val="20"/>
              </w:rPr>
              <w:t>307-2892</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9430" w:type="dxa"/>
        <w:jc w:val="left"/>
        <w:tblInd w:w="0" w:type="dxa"/>
        <w:tblLayout w:type="fixed"/>
        <w:tblCellMar>
          <w:top w:w="28" w:type="dxa"/>
          <w:left w:w="28" w:type="dxa"/>
          <w:bottom w:w="28" w:type="dxa"/>
          <w:right w:w="28" w:type="dxa"/>
        </w:tblCellMar>
      </w:tblPr>
      <w:tblGrid>
        <w:gridCol w:w="4366"/>
        <w:gridCol w:w="146"/>
        <w:gridCol w:w="946"/>
        <w:gridCol w:w="146"/>
        <w:gridCol w:w="3826"/>
      </w:tblGrid>
      <w:tr>
        <w:trPr/>
        <w:tc>
          <w:tcPr>
            <w:tcW w:w="4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436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43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Class A 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OKUR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Item 5.02 Departure of Directors or Certain Officers; Election of Directors; Appointment of Certain Officers; Compensatory Arrangements of Certain Officers.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(e) Repricing of Certain Underwater Options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August 7, 2026 (the “Effective Date”), the Board of Directors (the “Board”) of OnKure Therapeutics, Inc. (the “Company”) approved an option repricing. The repricing generally applied to all outstanding and unexercised stock options to purchase shares of the Company’s Class A common stock (“Shares”) granted prior to January 1, 2025, under the Company’s 2024 Equity Incentive Plan or the Company’s 2021 Stock Incentive Plan (each, a “Plan”), with an exercise price per Share equal to or greater than $10.00, held by certain employees and consultants (such options, the “Eligible Options”), including each of the Company’s named executive officers, as of the Effective Date.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options held by the Company’s named executive officers that were repriced included Eligible Options covering an aggregate of 571,423 Shares held by Nicholas A. Saccomano, Ph.D., the Company’s President and Chief Executive Officer (with exercise prices immediately prior to such repricing (“original exercise prices”) ranging from $13.99 to $21.20 per Share), Eligible Options covering an aggregate of 149,984 Shares held by Samuel Agresta, M.D., the Company’s Chief Medical Officer (with original exercise prices ranging from $13.99 to $18.20 per Share), and Eligible Options covering an aggregate of 141,714 Shares held by Jason Leverone, C.P.A., the Company’s Chief Financial Officer (with original exercise prices ranging from $13.99 to $21.20 per Share).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new exercise price per Share for repriced options is $4.14, the closing price of the Company’s Class A common stock on the Effective Date. However, if the optionee exercises his or her repriced Eligible Option without achieving the retention requirement (as defined below), such optionee will be required to pay a premium exercise price that is equal to the original exercise price per Share of such Eligible Option. There were no changes made to any Eligible Options’ term to expiration, vesting criteria, or underlying number of shares, and each repriced Eligible Option remains subject to the terms of the applicable Plan and award agreement. For purposes of the repricing, the retention requirement refers to the optionee being required to remain a service provider through (i) the date 18 months following the Effective Date, in the case of certain members of senior management including each of the Company’s named executive officers, or (ii) the one-year anniversary of the Effective Date, in the case of other employees or service providers. However, the retention requirement nonetheless will be considered satisfied for an optionee if, before the expiration of such applicable period, (a) the Company’s change in control (as defined in the Plan applicable to the optionee’s repriced option) occurs while the optionee is providing services or (b) the optionee’s service terminates due to his or her death or disability.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Board approved the option repricing, following recommendation from the Board’s Compensation Committee (the “Committee”) and the Board and Committee’s careful consideration of various alternatives, review of other relevant factors, and input and advice from the Committee’s compensation consultant. The repricing, including the retention requirement, was designed with the objectives of providing appropriate performance and retention incentives to holders of Eligible Options to continue to work in the best interests of the Company and its stockholders, without the Company incurring stock dilution that could have resulted from significant additional equity grants, or significant cash expenditures that could have resulted from additional cash compensation. As of immediately prior to the repricing, approximately 40% of outstanding stock options granted under the Plans had exercise prices per Share above the $10.00 threshold for participation in the repricing. The total number of Shares underlying all repriced options was approximately 1.7 million Shares. The repriced options had original exercise prices ranging from $13.99 to $24.59 per Share.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tbl>
      <w:tblPr>
        <w:tblW w:w="7836" w:type="dxa"/>
        <w:jc w:val="left"/>
        <w:tblInd w:w="0" w:type="dxa"/>
        <w:tblLayout w:type="fixed"/>
        <w:tblCellMar>
          <w:top w:w="28" w:type="dxa"/>
          <w:left w:w="28" w:type="dxa"/>
          <w:bottom w:w="28" w:type="dxa"/>
          <w:right w:w="28" w:type="dxa"/>
        </w:tblCellMar>
      </w:tblPr>
      <w:tblGrid>
        <w:gridCol w:w="1081"/>
        <w:gridCol w:w="109"/>
        <w:gridCol w:w="6646"/>
      </w:tblGrid>
      <w:tr>
        <w:trPr/>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10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 No.</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4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0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509" w:type="dxa"/>
        <w:jc w:val="left"/>
        <w:tblInd w:w="0" w:type="dxa"/>
        <w:tblLayout w:type="fixed"/>
        <w:tblCellMar>
          <w:top w:w="28" w:type="dxa"/>
          <w:left w:w="28" w:type="dxa"/>
          <w:bottom w:w="28" w:type="dxa"/>
          <w:right w:w="28" w:type="dxa"/>
        </w:tblCellMar>
      </w:tblPr>
      <w:tblGrid>
        <w:gridCol w:w="556"/>
        <w:gridCol w:w="1456"/>
        <w:gridCol w:w="451"/>
        <w:gridCol w:w="3046"/>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04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ONKURE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0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12,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04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Jason Leverone</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04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Name: Jason Leverone</w:t>
              <w:br/>
              <w:t>Title: 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1003</Words>
  <Characters>5694</Characters>
  <CharactersWithSpaces>6691</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