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Ratcliffe Liam</w:t>
              </w:r>
            </w:hyperlink>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OnKure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OKUR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Borders>
              <w:bottom w:val="single" w:sz="8" w:color="0000EE"/>
            </w:tcBorders>
            <w:vMerge w:val="continue"/>
          </w:tcPr>
          <w:p>
            <w:pPr>
              <w:spacing w:after="0"/>
              <w:rPr>
                <w:sz w:val="5"/>
                <w:szCs w:val="5"/>
                <w:color w:val="auto"/>
              </w:rPr>
            </w:pPr>
          </w:p>
        </w:tc>
        <w:tc>
          <w:tcPr>
            <w:tcW w:w="7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Borders>
              <w:top w:val="single" w:sz="8" w:color="0000EE"/>
            </w:tcBorders>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78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ONKURE THEREAPEUTICS,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6707 WINCHESTER CIRCLE, SUITE 400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BOULDER</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CO</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80301</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1,275</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1,275</w:t>
            </w: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1,275</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will vest on the earlier of June 4, 2027 or the day prior to the date of the Issuer's next annual meeting of stockholders, subject to the Reporting Person continuing as a service provider through the applicable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Rogan Nunn, by power of</w:t>
            </w:r>
          </w:p>
        </w:tc>
        <w:tc>
          <w:tcPr>
            <w:tcW w:w="12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6"/>
              </w:rPr>
              <w:t>attorney</w:t>
            </w:r>
          </w:p>
        </w:tc>
        <w:tc>
          <w:tcPr>
            <w:tcW w:w="15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7100" TargetMode="External"/><Relationship Id="rId14" Type="http://schemas.openxmlformats.org/officeDocument/2006/relationships/hyperlink" Target="http://www.sec.gov/cgi-bin/browse-edgar?action=getcompany&amp;CIK=0001637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2026-06-08T17:28:22Z</dcterms:created>
  <dcterms:modified xsi:type="dcterms:W3CDTF">2026-06-08T17:28:22Z</dcterms:modified>
</cp:coreProperties>
</file>