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OnKure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1,095,373.00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1,095,373.00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1,095,373.00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1,095,373.00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1,095,373.00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1,095,373.00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854,705.00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854,705.00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854,705.00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854,705.00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854,705.00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854,705.00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153,595.00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153,595.00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153,595.00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156"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153,595.00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153,595.00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153,595.00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15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156"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355" w:right="1440" w:bottom="156" w:gutter="0" w:footer="0" w:header="0"/>
          <w:type w:val="continuous"/>
        </w:sectPr>
      </w:pPr>
    </w:p>
    <w:bookmarkStart w:id="5" w:name="page6"/>
    <w:bookmarkEnd w:id="5"/>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BVF GP HOLDINGS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1,950,078.00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1,950,078.00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1,950,078.00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2,134,908.00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11" w:right="1440" w:bottom="0" w:gutter="0" w:footer="0" w:header="0"/>
          <w:type w:val="continuous"/>
        </w:sectPr>
      </w:pPr>
    </w:p>
    <w:bookmarkStart w:id="6" w:name="page7"/>
    <w:bookmarkEnd w:id="6"/>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2,134,908.00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2,134,908.00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INC/IL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2,134,908.00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2,134,908.00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2,134,908.00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355" w:right="1440" w:bottom="0" w:gutter="0" w:footer="0" w:header="0"/>
          <w:type w:val="continuous"/>
        </w:sectPr>
      </w:pPr>
    </w:p>
    <w:bookmarkStart w:id="7" w:name="page8"/>
    <w:bookmarkEnd w:id="7"/>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LAMPERT MARK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62" w:orient="portrait"/>
          <w:cols w:equalWidth="0" w:num="1">
            <w:col w:w="10920"/>
          </w:cols>
          <w:pgMar w:left="360" w:top="567" w:right="61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2,134,908.00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2,134,908.00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2,134,908.00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2" w:orient="portrait"/>
          <w:cols w:equalWidth="0" w:num="2">
            <w:col w:w="1060" w:space="60"/>
            <w:col w:w="9800"/>
          </w:cols>
          <w:pgMar w:left="360" w:top="567" w:right="6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OnKure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6707 WINCHESTER CIRCLE, SUITE 400, BOULDER, CO, 80301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Biotechnology Value Fund, L.P. ("BVF") BVF I GP LLC ("BVF GP") Biotechnology Value Fund II, L.P. ("BVF2")</w:t>
      </w:r>
    </w:p>
    <w:p>
      <w:pPr>
        <w:spacing w:after="0" w:line="26" w:lineRule="exact"/>
        <w:rPr>
          <w:sz w:val="20"/>
          <w:szCs w:val="20"/>
          <w:color w:val="auto"/>
        </w:rPr>
      </w:pPr>
    </w:p>
    <w:p>
      <w:pPr>
        <w:ind w:left="920" w:right="180" w:hanging="912"/>
        <w:spacing w:after="0" w:line="23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p>
      <w:pPr>
        <w:sectPr>
          <w:pgSz w:w="11900" w:h="16862" w:orient="portrait"/>
          <w:cols w:equalWidth="0" w:num="1">
            <w:col w:w="10920"/>
          </w:cols>
          <w:pgMar w:left="360" w:top="567" w:right="619" w:bottom="0" w:gutter="0" w:footer="0" w:header="0"/>
          <w:type w:val="continuous"/>
        </w:sectPr>
      </w:pPr>
    </w:p>
    <w:bookmarkStart w:id="8" w:name="page9"/>
    <w:bookmarkEnd w:id="8"/>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 Citizenship:</w:t>
      </w:r>
    </w:p>
    <w:p>
      <w:pPr>
        <w:spacing w:after="0" w:line="207" w:lineRule="exact"/>
        <w:rPr>
          <w:rFonts w:ascii="Times New Roman" w:cs="Times New Roman" w:eastAsia="Times New Roman" w:hAnsi="Times New Roman"/>
          <w:sz w:val="22"/>
          <w:szCs w:val="22"/>
          <w:color w:val="auto"/>
        </w:rPr>
      </w:pPr>
    </w:p>
    <w:p>
      <w:pPr>
        <w:ind w:left="920" w:right="20" w:hanging="912"/>
        <w:spacing w:after="0" w:line="193"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p>
      <w:pPr>
        <w:sectPr>
          <w:pgSz w:w="11900" w:h="16838" w:orient="portrait"/>
          <w:cols w:equalWidth="0" w:num="1">
            <w:col w:w="11140"/>
          </w:cols>
          <w:pgMar w:left="360" w:top="111" w:right="39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close of business on May 27, 2026, the Reporting Persons and a certain Partners managed account (the "Partners Managed Account") held pre-funded warrants (the "Pre-Funded Warrants") exercisable for an aggregate of 2,147,534 shares of the Issuer's Class A Common Stock, par value $0.0001 per share (the "Shares"). The Pre-Funded Warrants are exercisable immediately at an exercise price of $0.0001 per Share and will not expire until exercised in full. The Pre-Funded Warrants held by the Reporting Persons and the Partners Managed Account are only exercisable to the extent that after giving effect or immediately prior to such exercise the holders thereof, their affiliates and any persons who are members of a Section 13(d) group with the holders and their affiliates would beneficially own in the aggregate, for purposes of Rule 13d-3 under the Exchange Act, no more than the 4.9% of the number of Shares outstanding immediately after giving effect to such exercise (the "Pre-Funded Warrants Blocker"). As of the close of business on May 27, 2026, the Pre-Funded Warrants Blocker prohibits the exercise of any of the Pre-Funded Warrants held by the Reporting Persons and the Partners Managed Account. As of the close of business on May 27, 2026, (i) BVF beneficially owned 1,095,373 Shares, excluding 1,148,281 Shares underlying the Pre-Funded Warrants held by it, (ii) BVF2 beneficially owned 854,705 Shares, excluding 838,393 Shares underlying the Pre-Funded Warrants held by it, and (iii) Trading Fund OS beneficially owned 153,595 Shares, excluding 129,243 Shares underlying the Pre-Funded Warrants held by it. BVF GP, as the general partner of BVF, may be deemed to beneficially own the 1,095,373 Shares beneficially owned by BVF. BVF2 GP, as the general partner of BVF2, may be deemed to beneficially own the 854,705 Shares beneficially owned by BVF2. Partners OS, as the general partner of Trading Fund OS, may be deemed to beneficially own the 153,595 Shares beneficially owned by Trading Fund OS. BVF GPH, as the sole member of each of BVF GP and BVF2 GP, may be deemed to beneficially own the 1,950,078 Shares beneficially owned in the aggregate by BVF and BVF2. Partners, as the investment manager of BVF, BVF2 and Trading Fund OS, and the sole member of Partners OS, may be deemed to beneficially own the 2,134,908 Shares beneficially owned in the aggregate by BVF, BVF2 and Trading Fund OS and held in the Partners Managed Account, including 31,235 Shares held in the Partners Managed Account, which excludes 31,617 Shares underlying the Pre-</w:t>
      </w:r>
    </w:p>
    <w:p>
      <w:pPr>
        <w:sectPr>
          <w:pgSz w:w="11900" w:h="16838" w:orient="portrait"/>
          <w:cols w:equalWidth="0" w:num="1">
            <w:col w:w="11140"/>
          </w:cols>
          <w:pgMar w:left="360" w:top="111" w:right="399" w:bottom="0" w:gutter="0" w:footer="0" w:header="0"/>
          <w:type w:val="continuous"/>
        </w:sectPr>
      </w:pPr>
    </w:p>
    <w:bookmarkStart w:id="9" w:name="page10"/>
    <w:bookmarkEnd w:id="9"/>
    <w:p>
      <w:pPr>
        <w:ind w:left="920" w:right="40"/>
        <w:spacing w:after="0" w:line="233" w:lineRule="auto"/>
        <w:rPr>
          <w:sz w:val="20"/>
          <w:szCs w:val="20"/>
          <w:color w:val="auto"/>
        </w:rPr>
      </w:pPr>
      <w:r>
        <w:rPr>
          <w:rFonts w:ascii="Times New Roman" w:cs="Times New Roman" w:eastAsia="Times New Roman" w:hAnsi="Times New Roman"/>
          <w:sz w:val="22"/>
          <w:szCs w:val="22"/>
          <w:color w:val="auto"/>
        </w:rPr>
        <w:t>Funded Warrants held in the Partners Managed Account. BVF Inc., as the general partner of Partners, may be deemed to beneficially own the 2,134,908 Shares beneficially owned by Partners. Mr. Lampert, as a director and officer of BVF Inc., may be deemed to beneficially own the 2,134,908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jc w:val="both"/>
        <w:ind w:left="920" w:right="100"/>
        <w:spacing w:after="0" w:line="249" w:lineRule="auto"/>
        <w:rPr>
          <w:sz w:val="20"/>
          <w:szCs w:val="20"/>
          <w:color w:val="auto"/>
        </w:rPr>
      </w:pPr>
      <w:r>
        <w:rPr>
          <w:rFonts w:ascii="Times New Roman" w:cs="Times New Roman" w:eastAsia="Times New Roman" w:hAnsi="Times New Roman"/>
          <w:sz w:val="21"/>
          <w:szCs w:val="21"/>
          <w:color w:val="auto"/>
        </w:rPr>
        <w:t>The following percentages are based on 40,395,480 Shares outstanding as of May 4, 2026, as reported in the Issuer's Quarterly Report on Form 10-Q filed with the Securities and Exchange Commission on May 5, 2026. As of the close of business on May 27, 2026, (i) BVF beneficially owned approximately 2.7% of the outstanding Shares, (ii) BVF2</w:t>
      </w:r>
    </w:p>
    <w:p>
      <w:pPr>
        <w:spacing w:after="0" w:line="1" w:lineRule="exact"/>
        <w:rPr>
          <w:sz w:val="20"/>
          <w:szCs w:val="20"/>
          <w:color w:val="auto"/>
        </w:rPr>
      </w:pPr>
    </w:p>
    <w:p>
      <w:pPr>
        <w:ind w:left="920" w:right="20" w:hanging="912"/>
        <w:spacing w:after="0" w:line="204" w:lineRule="auto"/>
        <w:tabs>
          <w:tab w:leader="none" w:pos="920" w:val="left"/>
        </w:tabs>
        <w:numPr>
          <w:ilvl w:val="0"/>
          <w:numId w:val="1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beneficially owned approximately 2.1% of the outstanding Shares, (iii) Trading Fund OS beneficially owned less than 1% of the outstanding Shares, (iv) BVF GP may be deemed to beneficially own approximately 2.7% of the outstanding Shares, (v) BVF2 GP may be deemed to beneficially own approximately 2.1% of the outstanding Shares, (vi) Partners OS may be deemed to beneficially own less than 1% of the outstanding Shares, (vii) BVF GPH may be deemed to beneficially own approximately 4.8% of the outstanding Shares, and (viii) each of Partners, BVF Inc. and Mr. Lampert may be deemed to beneficially own approximately 5.3% of the outstanding Shares (less than 1% of the outstanding Shares are held in the Partners Managed Account). %</w:t>
      </w:r>
    </w:p>
    <w:p>
      <w:pPr>
        <w:spacing w:after="0" w:line="20"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Partners, BVF Inc. and Mr. Lampert share voting and dispositive power over the Shares beneficially owned by BVF, BVF2 and Trading Fund OS and held in the Partners Managed Account.</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11" w:right="399" w:bottom="0" w:gutter="0" w:footer="0" w:header="0"/>
          <w:type w:val="continuous"/>
        </w:sectPr>
      </w:pPr>
    </w:p>
    <w:bookmarkStart w:id="10" w:name="page11"/>
    <w:bookmarkEnd w:id="10"/>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BVF I GP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BVF II GP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BVF INC/IL</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LAMPERT MARK N</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ectPr>
          <w:pgSz w:w="11900" w:h="16838" w:orient="portrait"/>
          <w:cols w:equalWidth="0" w:num="1">
            <w:col w:w="11140"/>
          </w:cols>
          <w:pgMar w:left="360" w:top="396" w:right="399" w:bottom="0" w:gutter="0" w:footer="0" w:header="0"/>
        </w:sectPr>
      </w:pPr>
    </w:p>
    <w:bookmarkStart w:id="11" w:name="page12"/>
    <w:bookmarkEnd w:id="11"/>
    <w:p>
      <w:pPr>
        <w:ind w:left="3060"/>
        <w:spacing w:after="0"/>
        <w:rPr>
          <w:sz w:val="20"/>
          <w:szCs w:val="20"/>
          <w:color w:val="auto"/>
        </w:rPr>
      </w:pPr>
      <w:r>
        <w:rPr>
          <w:rFonts w:ascii="Times New Roman" w:cs="Times New Roman" w:eastAsia="Times New Roman" w:hAnsi="Times New Roman"/>
          <w:sz w:val="21"/>
          <w:szCs w:val="21"/>
          <w:color w:val="auto"/>
        </w:rPr>
        <w:t>Name/Title: Mark N. Lampert</w:t>
      </w:r>
    </w:p>
    <w:p>
      <w:pPr>
        <w:spacing w:after="0" w:line="56"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08" w:lineRule="exact"/>
        <w:rPr>
          <w:sz w:val="20"/>
          <w:szCs w:val="20"/>
          <w:color w:val="auto"/>
        </w:rPr>
      </w:pPr>
    </w:p>
    <w:p>
      <w:pPr>
        <w:jc w:val="center"/>
        <w:ind w:right="61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 Joint Filing Agreement, May 27, 2026.</w:t>
      </w:r>
    </w:p>
    <w:p>
      <w:pPr>
        <w:sectPr>
          <w:pgSz w:w="11900" w:h="16838" w:orient="portrait"/>
          <w:cols w:equalWidth="0" w:num="1">
            <w:col w:w="10099"/>
          </w:cols>
          <w:pgMar w:left="360" w:top="112"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May 27, 2026 with respect to the Class A Common Stock, par value $0.0001 per share, of OnKure Therapeutics, Inc., a Delaware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BIOTECHNOLOGY VALUE FUND L 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0"/>
                <w:szCs w:val="20"/>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05/27/2026</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BVF I GP LLC</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05/27/2026</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BIOTECHNOLOGY VALUE FUND II LP</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05/27/2026</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BVF II GP LLC</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05/27/2026</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Biotechnology Value Trading Fund OS LP</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05/27/2026</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BVF Partners OS Ltd.</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05/27/2026</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BVF GP HOLDINGS LLC</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05/27/2026</w:t>
            </w:r>
          </w:p>
        </w:tc>
        <w:tc>
          <w:tcPr>
            <w:tcW w:w="5640" w:type="dxa"/>
            <w:vAlign w:val="bottom"/>
          </w:tcPr>
          <w:p>
            <w:pPr>
              <w:spacing w:after="0"/>
              <w:rPr>
                <w:sz w:val="20"/>
                <w:szCs w:val="20"/>
                <w:color w:val="auto"/>
              </w:rPr>
            </w:pPr>
          </w:p>
        </w:tc>
      </w:tr>
      <w:tr>
        <w:trPr>
          <w:trHeight w:val="567"/>
        </w:trPr>
        <w:tc>
          <w:tcPr>
            <w:tcW w:w="6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BVF PARTNERS L P/IL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05/27/2026</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BVF INC/IL</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05/27/2026</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LAMPERT MARK N</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05/27/2026</w:t>
            </w:r>
          </w:p>
        </w:tc>
      </w:tr>
    </w:tbl>
    <w:p>
      <w:pPr>
        <w:spacing w:after="0" w:line="1" w:lineRule="exact"/>
        <w:rPr>
          <w:sz w:val="20"/>
          <w:szCs w:val="20"/>
          <w:color w:val="auto"/>
        </w:rPr>
      </w:pPr>
    </w:p>
    <w:sectPr>
      <w:pgSz w:w="11900" w:h="16838" w:orient="portrait"/>
      <w:cols w:equalWidth="0" w:num="1">
        <w:col w:w="10099"/>
      </w:cols>
      <w:pgMar w:left="36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1"/>
      <w:numFmt w:val="decimal"/>
      <w:start w:val="12"/>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9"/>
      <w:numFmt w:val="bullet"/>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2"/>
      <w:numFmt w:val="bullet"/>
      <w:start w:val="1"/>
    </w:lvl>
  </w:abstractNum>
  <w:abstractNum w:abstractNumId="9">
    <w:nsid w:val="109CF92E"/>
    <w:multiLevelType w:val="hybridMultilevel"/>
    <w:lvl w:ilvl="0">
      <w:lvlJc w:val="left"/>
      <w:lvlText w:val="3"/>
      <w:numFmt w:val="bullet"/>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lowerLetter"/>
      <w:start w:val="1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2026-05-27T16:02:12Z</dcterms:created>
  <dcterms:modified xsi:type="dcterms:W3CDTF">2026-05-27T16:02:12Z</dcterms:modified>
</cp:coreProperties>
</file>