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OnKure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1,671,617.00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1,671,617.00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1,671,617.00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1,671,617.00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1,671,617.00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1,671,617.00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1,289,385.00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1,289,385.00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1,289,385.00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3.2 %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1,289,385.00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1,289,385.00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1,289,385.00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226,497.00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226,497.00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226,497.00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226,497.00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226,497.00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226,497.00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2,961,002.00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2,961,002.00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2,961,002.00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3,235,778.00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3,235,778.00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3,235,778.00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3,235,778.00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3,235,778.00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3,235,778.00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3,235,778.00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3,235,778.00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3,235,778.00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OnKure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6707 WINCHESTER CIRCLE, SUITE 400, BOULDER, CO 80301</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(g)</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(h)</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(j)</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(k)</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June 30, 2026, the Reporting Persons and a certain Partners managed account (the "Partners Managed Account") held pre-funded warrants (the "Pre-Funded Warrants") exercisable for an aggregate of 2,147,534 shares of the Issuer's Class A Common Stock, par value $0.0001 per share (the "Shares"). The Pre-Funded Warrants are exercisable immediately at an exercise price of $0.0001 per Share and will not expire until exercised in full. The Pre-Funded Warrants held by the Reporting Persons and the Partners Managed Account are only exercisable to the extent that after giving effect or immediately prior to such exercise the holders thereof, their affiliates and any persons who are members of a Section 13(d) group with the holders and their affiliates would beneficially own in the aggregate, for purposes of Rule 13d-3 under the Exchange Act, no more than 4.9% of the number of Shares outstanding immediately after giving effect to such exercise (the "Pre-Funded Warrants Blocker"). As of the close of business on June 30, 2026, the Pre-Funded Warrants Blocker prohibits the exercise of any of the Pre-Funded Warrants held by the Reporting Persons and the Partners Managed Account. As of the close of business on June 30, 2026, (i) BVF beneficially owned 1,671,617 Shares, excluding 1,148,281 Shares underlying the Pre-Funded Warrants held by it, (ii) BVF2 beneficially owned 1,289,385 Shares, excluding 838,393 Shares underlying the Pre-Funded Warrants held by it, and (iii) Trading Fund OS beneficially owned 226,497 Shares, excluding 129,243 Shares underlying the Pre-Funded Warrants held by it. BVF GP, as the general partner of BVF, may be deemed to beneficially own the 1,671,617 Shares beneficially owned by BVF. BVF2 GP, as the general partner of BVF2, may be deemed to beneficially own the 1,289,385 Shares beneficially owned by BVF2. Partners OS, as the general partner of Trading Fund OS, may be deemed to beneficially own the 226,497 Shares beneficially owned by Trading Fund OS. BVF GPH, as the sole member of each of BVF GP and BVF2 GP, may be deemed to beneficially own the 2,961,002 Shares beneficially owned in the aggregate by BVF and BVF2. Partners, as the investment manager of BVF, BVF2 and Trading Fund OS, and the sole member of Partners OS, may be deemed to beneficially own the 3,235,778 Shares beneficially owned in the aggregate by BVF, BVF2 and Trading Fund OS and held in the Partners Managed Account, including 48,279 Shares held in the Partners Managed Account, which excludes 31,617 Shares underlying the Pre-Funded Warrants held in the Partners Managed Account. BVF Inc., as the general partner of Partners, may be deemed to beneficially own the 3,235,778 Shares beneficially owned by Partners. Mr. Lampert, as a director and officer of BVF Inc., may be deemed to beneficially own the 3,235,778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on 40,395,480 Shares outstanding as of May 4, 2026, as reported in the Issuer's Quarterly Report on Form 10-Q filed with the Securities and Exchange Commission on May 5, 2026. As of the close of business on June 30, 2026, (i) BVF beneficially owned approximately 4.1% of the outstanding Shares, (ii) BVF2 beneficially owned approximately 3.2% of the outstanding Shares, (iii) Trading Fund OS beneficially owned less than 1% of the outstanding Shares, (iv) BVF GP may be deemed to beneficially own approximately 4.1% of the outstanding Shares, (v) BVF2 GP may be deemed to beneficially own approximately 3.2% of the outstanding Shares, (vi) Partners OS may be deemed to beneficially own less than 1% of the outstanding Shares, (vii) BVF GPH may be deemed to beneficially own approximately 7.3% of the outstanding Shares, and (viii) each of Partners, BVF Inc. and Mr. Lampert may be deemed to beneficially own approximately 8.0% of the outstanding Shares (less than 1% of the outstanding Shares are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Partners, BVF Inc. and Mr. Lampert share voting and dispositive power over the Shares beneficially owned by BVF, BVF2 and Trading Fund OS and held in the Partners Managed Account.</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8.</w:t>
            </w:r>
          </w:p>
        </w:tc>
        <w:tc>
          <w:tcPr>
            <w:tcW w:w="88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with the Securities and Exchange Commission on May 27, 2026.</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9.</w:t>
            </w:r>
          </w:p>
        </w:tc>
        <w:tc>
          <w:tcPr>
            <w:tcW w:w="88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3140</Words>
  <Characters>16112</Characters>
  <CharactersWithSpaces>19061</CharactersWithSpaces>
  <Paragraphs>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