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20.xml.htm"/>
      <w:bookmarkStart w:id="1" w:name="ksform408112026_0808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Agresta Samuel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ONKURE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6707 WINCHESTER CIRCLE,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OnKure Therapeutics, Inc.</w:t>
              </w:r>
            </w:hyperlink>
            <w:r>
              <w:rPr/>
              <w:t xml:space="preserve"> [ </w:t>
            </w:r>
            <w:r>
              <w:rPr>
                <w:rFonts w:ascii="Times;serif" w:hAnsi="Times;serif"/>
                <w:color w:val="0000FF"/>
                <w:sz w:val="24"/>
                <w:shd w:fill="FFFFFF" w:val="clear"/>
              </w:rPr>
              <w:t>OKUR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18,588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18,588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131,396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131,396</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131,396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1/48th of the shares subject to the option shall vest on September 7, 2026 and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1/4th of the shares subject to the option vested on February 5, 2025 and 1/48th of the shares subject to the option vest on the first day of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transactions reported herein reflect a one-time stock option repricing (the "Option Repricing") effective on August 7, 2026 (the "Effective Date"). The Option Repricing applies to options with exercise prices equal to or greater than $10.00 per share held by all continuing employees and certain other service providers of the Issuer as of the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Option Repricing, the exercise price of the repriced options, including the reported option, has been amended to reduce the exercise price to $4.14 per share, the closing price of the Issuer's Class A Common Stock on the Effective Date. However, if an option holder exercises a repriced option before the end of a "Retention Period" through which the option holder must remain in service to the Issuer, then the option holder will be required to pay a premium exercise price that is equal to the original exercise price per share of such option. The "Retention Period" begins on the Effective Date of the Option Repricing and ends on the earliest to occur of the following: (i) February 7, 2028 or (ii) a Change in Control, as defined in the Issuer's 2021 Stock Incentive Plan or 2024 Equity Incentive Plan (as applicable). There was no change to the vesting schedules, expiration dates or number of shares underlying the repriced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1/36th of the shares subject to the option vested on November 4, 2024 and 1/36th of the shares subject to the option vest each month thereafter, subject to the Reporting Person continuing as a service provider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Rogan Nunn,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961" TargetMode="External"/><Relationship Id="rId5" Type="http://schemas.openxmlformats.org/officeDocument/2006/relationships/hyperlink" Target="http://www.sec.gov/cgi-bin/browse-edgar?action=getcompany&amp;CIK=000163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1001</Words>
  <Characters>5240</Characters>
  <CharactersWithSpaces>6117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